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E4D1C22" w14:textId="77777777" w:rsidR="00807C7F" w:rsidRPr="00664EDE" w:rsidRDefault="008D260A" w:rsidP="001A1F4A">
      <w:pPr>
        <w:rPr>
          <w:b/>
        </w:rPr>
      </w:pPr>
      <w:r w:rsidRPr="00664EDE">
        <w:rPr>
          <w:b/>
          <w:noProof/>
        </w:rPr>
        <w:drawing>
          <wp:anchor distT="0" distB="0" distL="114300" distR="114300" simplePos="0" relativeHeight="251655168" behindDoc="0" locked="0" layoutInCell="1" allowOverlap="1" wp14:anchorId="499D4AFA" wp14:editId="32523F66">
            <wp:simplePos x="0" y="0"/>
            <wp:positionH relativeFrom="column">
              <wp:posOffset>4311015</wp:posOffset>
            </wp:positionH>
            <wp:positionV relativeFrom="paragraph">
              <wp:posOffset>-13335</wp:posOffset>
            </wp:positionV>
            <wp:extent cx="1181100" cy="1171575"/>
            <wp:effectExtent l="0" t="0" r="0" b="0"/>
            <wp:wrapSquare wrapText="bothSides"/>
            <wp:docPr id="4" name="Resim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8" cstate="print"/>
                    <a:srcRect l="6049" r="4738" b="7353"/>
                    <a:stretch>
                      <a:fillRect/>
                    </a:stretch>
                  </pic:blipFill>
                  <pic:spPr bwMode="auto">
                    <a:xfrm>
                      <a:off x="0" y="0"/>
                      <a:ext cx="1181100" cy="1171575"/>
                    </a:xfrm>
                    <a:prstGeom prst="rect">
                      <a:avLst/>
                    </a:prstGeom>
                    <a:noFill/>
                    <a:ln w="9525">
                      <a:noFill/>
                      <a:miter lim="800000"/>
                      <a:headEnd/>
                      <a:tailEnd/>
                    </a:ln>
                  </pic:spPr>
                </pic:pic>
              </a:graphicData>
            </a:graphic>
          </wp:anchor>
        </w:drawing>
      </w:r>
      <w:r w:rsidR="00BB15D0" w:rsidRPr="00664EDE">
        <w:rPr>
          <w:b/>
          <w:noProof/>
        </w:rPr>
        <w:drawing>
          <wp:anchor distT="0" distB="0" distL="0" distR="0" simplePos="0" relativeHeight="251656192" behindDoc="1" locked="0" layoutInCell="1" allowOverlap="1" wp14:anchorId="1856F915" wp14:editId="5B9E69FA">
            <wp:simplePos x="0" y="0"/>
            <wp:positionH relativeFrom="page">
              <wp:posOffset>876300</wp:posOffset>
            </wp:positionH>
            <wp:positionV relativeFrom="paragraph">
              <wp:posOffset>-3810</wp:posOffset>
            </wp:positionV>
            <wp:extent cx="1259840" cy="1154430"/>
            <wp:effectExtent l="19050" t="0" r="0" b="0"/>
            <wp:wrapSquare wrapText="bothSides"/>
            <wp:docPr id="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9" cstate="print"/>
                    <a:srcRect/>
                    <a:stretch>
                      <a:fillRect/>
                    </a:stretch>
                  </pic:blipFill>
                  <pic:spPr bwMode="auto">
                    <a:xfrm>
                      <a:off x="0" y="0"/>
                      <a:ext cx="1259840" cy="1154430"/>
                    </a:xfrm>
                    <a:prstGeom prst="rect">
                      <a:avLst/>
                    </a:prstGeom>
                    <a:noFill/>
                    <a:ln w="9525">
                      <a:noFill/>
                      <a:miter lim="800000"/>
                      <a:headEnd/>
                      <a:tailEnd/>
                    </a:ln>
                  </pic:spPr>
                </pic:pic>
              </a:graphicData>
            </a:graphic>
          </wp:anchor>
        </w:drawing>
      </w:r>
    </w:p>
    <w:p w14:paraId="7F3D3424" w14:textId="049C63A1" w:rsidR="00807C7F" w:rsidRPr="00664EDE" w:rsidRDefault="005549BE" w:rsidP="0062001B">
      <w:pPr>
        <w:jc w:val="center"/>
        <w:rPr>
          <w:b/>
        </w:rPr>
      </w:pPr>
      <w:r w:rsidRPr="00664EDE">
        <w:rPr>
          <w:b/>
        </w:rPr>
        <w:t>T.C</w:t>
      </w:r>
      <w:r w:rsidR="005406DE" w:rsidRPr="00664EDE">
        <w:rPr>
          <w:b/>
        </w:rPr>
        <w:t>.</w:t>
      </w:r>
    </w:p>
    <w:p w14:paraId="6A064994" w14:textId="77777777" w:rsidR="005549BE" w:rsidRPr="00664EDE" w:rsidRDefault="005549BE" w:rsidP="006131D9">
      <w:pPr>
        <w:jc w:val="center"/>
        <w:rPr>
          <w:b/>
        </w:rPr>
      </w:pPr>
      <w:r w:rsidRPr="00664EDE">
        <w:rPr>
          <w:b/>
        </w:rPr>
        <w:t>GÜMÜŞHANE ÜNİVERSİTESİ</w:t>
      </w:r>
    </w:p>
    <w:p w14:paraId="0E41A064" w14:textId="77777777" w:rsidR="005549BE" w:rsidRPr="00664EDE" w:rsidRDefault="005549BE" w:rsidP="006131D9">
      <w:pPr>
        <w:jc w:val="center"/>
        <w:rPr>
          <w:b/>
        </w:rPr>
      </w:pPr>
      <w:r w:rsidRPr="00664EDE">
        <w:rPr>
          <w:b/>
        </w:rPr>
        <w:t>FEN BİLİMLERİ ENSTİTÜSÜ</w:t>
      </w:r>
    </w:p>
    <w:p w14:paraId="06B2C5D8" w14:textId="77777777" w:rsidR="00807C7F" w:rsidRPr="00664EDE" w:rsidRDefault="00807C7F" w:rsidP="00807C7F">
      <w:pPr>
        <w:rPr>
          <w:b/>
        </w:rPr>
      </w:pPr>
    </w:p>
    <w:p w14:paraId="135C94B6" w14:textId="77777777" w:rsidR="00807C7F" w:rsidRPr="00664EDE" w:rsidRDefault="00807C7F" w:rsidP="006131D9">
      <w:pPr>
        <w:jc w:val="center"/>
        <w:rPr>
          <w:b/>
        </w:rPr>
      </w:pPr>
    </w:p>
    <w:p w14:paraId="61C1C828" w14:textId="77777777" w:rsidR="00807C7F" w:rsidRPr="00664EDE" w:rsidRDefault="00807C7F" w:rsidP="006131D9">
      <w:pPr>
        <w:jc w:val="center"/>
        <w:rPr>
          <w:b/>
        </w:rPr>
      </w:pPr>
    </w:p>
    <w:p w14:paraId="62288FA7" w14:textId="77777777" w:rsidR="00807C7F" w:rsidRPr="00664EDE" w:rsidRDefault="00807C7F" w:rsidP="005549BE">
      <w:pPr>
        <w:rPr>
          <w:b/>
        </w:rPr>
      </w:pPr>
    </w:p>
    <w:p w14:paraId="491BF3CD" w14:textId="77777777" w:rsidR="00807C7F" w:rsidRPr="00664EDE" w:rsidRDefault="00807C7F" w:rsidP="006131D9">
      <w:pPr>
        <w:jc w:val="center"/>
        <w:rPr>
          <w:b/>
        </w:rPr>
      </w:pPr>
    </w:p>
    <w:p w14:paraId="485EDED2" w14:textId="405F9886" w:rsidR="00807C7F" w:rsidRPr="00664EDE" w:rsidRDefault="00B84D61" w:rsidP="006F6C51">
      <w:pPr>
        <w:spacing w:line="360" w:lineRule="auto"/>
        <w:jc w:val="center"/>
        <w:rPr>
          <w:b/>
        </w:rPr>
      </w:pPr>
      <w:r w:rsidRPr="00B84D61">
        <w:rPr>
          <w:b/>
        </w:rPr>
        <w:t>PİPERİDİN TÜREVİ BİLEŞİKLERİN ASETİLKOLİNESTERAZ, BÜTİRİLKOLİNESTERAZ ENZİMLERİ ÜZER</w:t>
      </w:r>
      <w:r w:rsidR="0077689D">
        <w:rPr>
          <w:b/>
        </w:rPr>
        <w:t>İNDEKİ İNHİBİSYON ETKİLERİNİN ve</w:t>
      </w:r>
      <w:r w:rsidRPr="00B84D61">
        <w:rPr>
          <w:b/>
        </w:rPr>
        <w:t xml:space="preserve"> ANTİBAKTERİYEL AKTİVİTELERİNİN İNCELENMESİ</w:t>
      </w:r>
    </w:p>
    <w:p w14:paraId="7A96F487" w14:textId="77777777" w:rsidR="00807C7F" w:rsidRPr="00664EDE" w:rsidRDefault="00807C7F" w:rsidP="006F6C51">
      <w:pPr>
        <w:spacing w:line="360" w:lineRule="auto"/>
        <w:rPr>
          <w:b/>
        </w:rPr>
      </w:pPr>
    </w:p>
    <w:p w14:paraId="0C2FE1DF" w14:textId="77777777" w:rsidR="00807C7F" w:rsidRPr="00664EDE" w:rsidRDefault="00807C7F" w:rsidP="005549BE">
      <w:pPr>
        <w:rPr>
          <w:b/>
        </w:rPr>
      </w:pPr>
    </w:p>
    <w:p w14:paraId="23F8E12F" w14:textId="77777777" w:rsidR="005549BE" w:rsidRPr="00664EDE" w:rsidRDefault="005549BE" w:rsidP="006131D9">
      <w:pPr>
        <w:jc w:val="center"/>
        <w:rPr>
          <w:b/>
        </w:rPr>
      </w:pPr>
      <w:r w:rsidRPr="00664EDE">
        <w:rPr>
          <w:b/>
        </w:rPr>
        <w:t>YÜKSEK LİSANS TEZİ</w:t>
      </w:r>
    </w:p>
    <w:p w14:paraId="1DE39241" w14:textId="77777777" w:rsidR="00807C7F" w:rsidRPr="00664EDE" w:rsidRDefault="00807C7F" w:rsidP="006F6C51">
      <w:pPr>
        <w:spacing w:line="360" w:lineRule="auto"/>
        <w:rPr>
          <w:b/>
        </w:rPr>
      </w:pPr>
    </w:p>
    <w:p w14:paraId="3E6E9AB6" w14:textId="77777777" w:rsidR="008D260A" w:rsidRPr="00664EDE" w:rsidRDefault="008D260A" w:rsidP="006F6C51">
      <w:pPr>
        <w:spacing w:line="360" w:lineRule="auto"/>
        <w:rPr>
          <w:b/>
        </w:rPr>
      </w:pPr>
    </w:p>
    <w:p w14:paraId="3431FC74" w14:textId="047EF3DE" w:rsidR="00807C7F" w:rsidRPr="00664EDE" w:rsidRDefault="00B84D61" w:rsidP="006131D9">
      <w:pPr>
        <w:jc w:val="center"/>
        <w:rPr>
          <w:b/>
        </w:rPr>
      </w:pPr>
      <w:r>
        <w:rPr>
          <w:b/>
        </w:rPr>
        <w:t>Levent ÇOŞKUN</w:t>
      </w:r>
    </w:p>
    <w:p w14:paraId="7CAEBACA" w14:textId="77777777" w:rsidR="00807C7F" w:rsidRPr="00664EDE" w:rsidRDefault="00807C7F" w:rsidP="005549BE">
      <w:pPr>
        <w:rPr>
          <w:b/>
        </w:rPr>
      </w:pPr>
    </w:p>
    <w:p w14:paraId="5640D09E" w14:textId="77777777" w:rsidR="005406DE" w:rsidRPr="00664EDE" w:rsidRDefault="005406DE" w:rsidP="005549BE">
      <w:pPr>
        <w:rPr>
          <w:b/>
        </w:rPr>
      </w:pPr>
    </w:p>
    <w:p w14:paraId="0F901358" w14:textId="77777777" w:rsidR="007551FF" w:rsidRPr="00664EDE" w:rsidRDefault="007551FF" w:rsidP="005549BE">
      <w:pPr>
        <w:rPr>
          <w:b/>
        </w:rPr>
      </w:pPr>
    </w:p>
    <w:p w14:paraId="2542D78F" w14:textId="468F40AB" w:rsidR="005F56CE" w:rsidRPr="00664EDE" w:rsidRDefault="00526B57" w:rsidP="005F56CE">
      <w:pPr>
        <w:spacing w:line="240" w:lineRule="auto"/>
        <w:jc w:val="center"/>
        <w:rPr>
          <w:b/>
        </w:rPr>
      </w:pPr>
      <w:r>
        <w:rPr>
          <w:b/>
        </w:rPr>
        <w:t>NİSAN</w:t>
      </w:r>
      <w:r w:rsidR="005549BE" w:rsidRPr="00664EDE">
        <w:rPr>
          <w:b/>
        </w:rPr>
        <w:t xml:space="preserve"> 20</w:t>
      </w:r>
      <w:r w:rsidR="00B84D61">
        <w:rPr>
          <w:b/>
        </w:rPr>
        <w:t>21</w:t>
      </w:r>
    </w:p>
    <w:p w14:paraId="10545275" w14:textId="5B1AB557" w:rsidR="009B4D49" w:rsidRPr="00664EDE" w:rsidRDefault="0031039A" w:rsidP="00E60F9D">
      <w:pPr>
        <w:spacing w:line="240" w:lineRule="auto"/>
        <w:jc w:val="center"/>
        <w:rPr>
          <w:b/>
        </w:rPr>
        <w:sectPr w:rsidR="009B4D49" w:rsidRPr="00664EDE" w:rsidSect="00C425E6">
          <w:footerReference w:type="even" r:id="rId10"/>
          <w:footerReference w:type="first" r:id="rId11"/>
          <w:pgSz w:w="11906" w:h="16838"/>
          <w:pgMar w:top="1701" w:right="1418" w:bottom="1418" w:left="1701" w:header="709" w:footer="709" w:gutter="0"/>
          <w:pgNumType w:fmt="upperRoman" w:start="1"/>
          <w:cols w:space="708"/>
          <w:docGrid w:linePitch="360"/>
        </w:sectPr>
      </w:pPr>
      <w:r>
        <w:rPr>
          <w:b/>
        </w:rPr>
        <w:t>GÜMÜŞHANE</w:t>
      </w:r>
    </w:p>
    <w:p w14:paraId="309DCC56" w14:textId="6FFE8EB1" w:rsidR="0031039A" w:rsidRDefault="0031039A" w:rsidP="0031039A">
      <w:pPr>
        <w:tabs>
          <w:tab w:val="left" w:pos="1650"/>
        </w:tabs>
      </w:pPr>
    </w:p>
    <w:p w14:paraId="601602D9" w14:textId="6B9B2D8E" w:rsidR="00333B1C" w:rsidRPr="0031039A" w:rsidRDefault="00333B1C" w:rsidP="0031039A">
      <w:pPr>
        <w:tabs>
          <w:tab w:val="left" w:pos="1650"/>
        </w:tabs>
        <w:sectPr w:rsidR="00333B1C" w:rsidRPr="0031039A" w:rsidSect="00515BBF">
          <w:headerReference w:type="default" r:id="rId12"/>
          <w:headerReference w:type="first" r:id="rId13"/>
          <w:footerReference w:type="first" r:id="rId14"/>
          <w:pgSz w:w="11906" w:h="16838"/>
          <w:pgMar w:top="1701" w:right="1418" w:bottom="1418" w:left="1701" w:header="708" w:footer="708" w:gutter="0"/>
          <w:pgNumType w:fmt="upperRoman" w:start="1"/>
          <w:cols w:space="708"/>
          <w:titlePg/>
          <w:docGrid w:linePitch="360"/>
        </w:sectPr>
      </w:pPr>
    </w:p>
    <w:p w14:paraId="33C51350" w14:textId="77777777" w:rsidR="005406DE" w:rsidRPr="00664EDE" w:rsidRDefault="005406DE" w:rsidP="0031039A">
      <w:pPr>
        <w:spacing w:after="0" w:line="360" w:lineRule="auto"/>
        <w:rPr>
          <w:b/>
        </w:rPr>
      </w:pPr>
    </w:p>
    <w:p w14:paraId="61642A86" w14:textId="77777777" w:rsidR="002B6F0C" w:rsidRPr="002B6F0C" w:rsidRDefault="002B6F0C" w:rsidP="002B6F0C">
      <w:pPr>
        <w:widowControl w:val="0"/>
        <w:spacing w:after="0" w:line="360" w:lineRule="auto"/>
        <w:ind w:right="-17"/>
        <w:jc w:val="center"/>
        <w:rPr>
          <w:rFonts w:eastAsia="Calibri"/>
          <w:b/>
          <w:color w:val="auto"/>
          <w:lang w:eastAsia="en-US"/>
        </w:rPr>
      </w:pPr>
      <w:r w:rsidRPr="002B6F0C">
        <w:rPr>
          <w:rFonts w:eastAsia="Calibri"/>
          <w:b/>
          <w:color w:val="auto"/>
          <w:lang w:eastAsia="en-US"/>
        </w:rPr>
        <w:t xml:space="preserve">T.C. </w:t>
      </w:r>
    </w:p>
    <w:p w14:paraId="5AC03DEE" w14:textId="77777777" w:rsidR="002B6F0C" w:rsidRPr="002B6F0C" w:rsidRDefault="002B6F0C" w:rsidP="002B6F0C">
      <w:pPr>
        <w:widowControl w:val="0"/>
        <w:spacing w:after="0" w:line="360" w:lineRule="auto"/>
        <w:ind w:right="-17"/>
        <w:jc w:val="center"/>
        <w:rPr>
          <w:rFonts w:eastAsia="Calibri"/>
          <w:b/>
          <w:color w:val="auto"/>
          <w:spacing w:val="35"/>
          <w:lang w:eastAsia="en-US"/>
        </w:rPr>
      </w:pPr>
      <w:r w:rsidRPr="002B6F0C">
        <w:rPr>
          <w:rFonts w:eastAsia="Calibri"/>
          <w:b/>
          <w:color w:val="auto"/>
          <w:spacing w:val="-1"/>
          <w:lang w:eastAsia="en-US"/>
        </w:rPr>
        <w:t>GÜMÜŞHANE</w:t>
      </w:r>
      <w:r w:rsidRPr="002B6F0C">
        <w:rPr>
          <w:rFonts w:eastAsia="Calibri"/>
          <w:b/>
          <w:color w:val="auto"/>
          <w:lang w:eastAsia="en-US"/>
        </w:rPr>
        <w:t xml:space="preserve"> </w:t>
      </w:r>
      <w:r w:rsidRPr="002B6F0C">
        <w:rPr>
          <w:rFonts w:eastAsia="Calibri"/>
          <w:b/>
          <w:color w:val="auto"/>
          <w:spacing w:val="-1"/>
          <w:lang w:eastAsia="en-US"/>
        </w:rPr>
        <w:t>ÜNİVERSİTESİ</w:t>
      </w:r>
      <w:r w:rsidRPr="002B6F0C">
        <w:rPr>
          <w:rFonts w:eastAsia="Calibri"/>
          <w:b/>
          <w:color w:val="auto"/>
          <w:spacing w:val="35"/>
          <w:lang w:eastAsia="en-US"/>
        </w:rPr>
        <w:t xml:space="preserve"> </w:t>
      </w:r>
    </w:p>
    <w:p w14:paraId="1C14B8D7" w14:textId="77777777" w:rsidR="002B6F0C" w:rsidRPr="002B6F0C" w:rsidRDefault="002B6F0C" w:rsidP="002B6F0C">
      <w:pPr>
        <w:widowControl w:val="0"/>
        <w:spacing w:after="0" w:line="360" w:lineRule="auto"/>
        <w:ind w:right="-17"/>
        <w:jc w:val="center"/>
        <w:rPr>
          <w:rFonts w:eastAsia="Times New Roman"/>
          <w:color w:val="auto"/>
          <w:lang w:eastAsia="en-US"/>
        </w:rPr>
      </w:pPr>
      <w:r w:rsidRPr="002B6F0C">
        <w:rPr>
          <w:rFonts w:eastAsia="Calibri"/>
          <w:b/>
          <w:color w:val="auto"/>
          <w:spacing w:val="-1"/>
          <w:lang w:eastAsia="en-US"/>
        </w:rPr>
        <w:t>FEN</w:t>
      </w:r>
      <w:r w:rsidRPr="002B6F0C">
        <w:rPr>
          <w:rFonts w:eastAsia="Calibri"/>
          <w:b/>
          <w:color w:val="auto"/>
          <w:lang w:eastAsia="en-US"/>
        </w:rPr>
        <w:t xml:space="preserve"> </w:t>
      </w:r>
      <w:r w:rsidRPr="002B6F0C">
        <w:rPr>
          <w:rFonts w:eastAsia="Calibri"/>
          <w:b/>
          <w:color w:val="auto"/>
          <w:spacing w:val="-1"/>
          <w:lang w:eastAsia="en-US"/>
        </w:rPr>
        <w:t>BİLİMLERİ</w:t>
      </w:r>
      <w:r w:rsidRPr="002B6F0C">
        <w:rPr>
          <w:rFonts w:eastAsia="Calibri"/>
          <w:b/>
          <w:color w:val="auto"/>
          <w:lang w:eastAsia="en-US"/>
        </w:rPr>
        <w:t xml:space="preserve"> ENSTİTÜSÜ</w:t>
      </w:r>
    </w:p>
    <w:p w14:paraId="6203E0BA"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49D12A7E"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78580554"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63D15462" w14:textId="77777777" w:rsidR="002B6F0C" w:rsidRPr="002B6F0C" w:rsidRDefault="002B6F0C" w:rsidP="002B6F0C">
      <w:pPr>
        <w:widowControl w:val="0"/>
        <w:spacing w:after="0" w:line="240" w:lineRule="atLeast"/>
        <w:ind w:right="-17"/>
        <w:jc w:val="center"/>
        <w:rPr>
          <w:rFonts w:eastAsia="Times New Roman"/>
          <w:color w:val="auto"/>
          <w:szCs w:val="20"/>
          <w:lang w:eastAsia="en-US"/>
        </w:rPr>
      </w:pPr>
    </w:p>
    <w:p w14:paraId="709F30F4" w14:textId="77777777" w:rsidR="002B6F0C" w:rsidRPr="002B6F0C" w:rsidRDefault="002B6F0C" w:rsidP="002B6F0C">
      <w:pPr>
        <w:widowControl w:val="0"/>
        <w:spacing w:after="0" w:line="240" w:lineRule="auto"/>
        <w:ind w:right="-17"/>
        <w:jc w:val="center"/>
        <w:rPr>
          <w:rFonts w:eastAsia="Times New Roman"/>
          <w:color w:val="auto"/>
          <w:lang w:eastAsia="en-US"/>
        </w:rPr>
      </w:pPr>
      <w:r w:rsidRPr="002B6F0C">
        <w:rPr>
          <w:rFonts w:eastAsia="Calibri"/>
          <w:b/>
          <w:color w:val="auto"/>
          <w:spacing w:val="-1"/>
          <w:lang w:eastAsia="en-US"/>
        </w:rPr>
        <w:t>BİYOTEKNOLOJİ</w:t>
      </w:r>
      <w:r w:rsidRPr="002B6F0C">
        <w:rPr>
          <w:rFonts w:eastAsia="Calibri"/>
          <w:b/>
          <w:color w:val="auto"/>
          <w:lang w:eastAsia="en-US"/>
        </w:rPr>
        <w:t xml:space="preserve"> </w:t>
      </w:r>
      <w:r w:rsidRPr="002B6F0C">
        <w:rPr>
          <w:rFonts w:eastAsia="Calibri"/>
          <w:b/>
          <w:color w:val="auto"/>
          <w:spacing w:val="-1"/>
          <w:lang w:eastAsia="en-US"/>
        </w:rPr>
        <w:t>ANABİLİM DALI</w:t>
      </w:r>
    </w:p>
    <w:p w14:paraId="2625FC6D"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1A5197C6"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473846EB"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550583DB" w14:textId="77777777" w:rsidR="002B6F0C" w:rsidRPr="002B6F0C" w:rsidRDefault="002B6F0C" w:rsidP="002B6F0C">
      <w:pPr>
        <w:widowControl w:val="0"/>
        <w:spacing w:before="14" w:after="0" w:line="260" w:lineRule="atLeast"/>
        <w:ind w:right="-17"/>
        <w:jc w:val="center"/>
        <w:rPr>
          <w:rFonts w:eastAsia="Times New Roman"/>
          <w:color w:val="auto"/>
          <w:lang w:eastAsia="en-US"/>
        </w:rPr>
      </w:pPr>
    </w:p>
    <w:p w14:paraId="4FA04445" w14:textId="77777777" w:rsidR="002B6F0C" w:rsidRPr="002B6F0C" w:rsidRDefault="002B6F0C" w:rsidP="002B6F0C">
      <w:pPr>
        <w:widowControl w:val="0"/>
        <w:spacing w:before="14" w:after="0" w:line="260" w:lineRule="atLeast"/>
        <w:ind w:right="-17"/>
        <w:jc w:val="center"/>
        <w:rPr>
          <w:rFonts w:eastAsia="Times New Roman"/>
          <w:color w:val="auto"/>
          <w:sz w:val="36"/>
          <w:lang w:eastAsia="en-US"/>
        </w:rPr>
      </w:pPr>
    </w:p>
    <w:p w14:paraId="5267F17E" w14:textId="03A5D0B8" w:rsidR="002B6F0C" w:rsidRPr="002B6F0C" w:rsidRDefault="00363538" w:rsidP="002B6F0C">
      <w:pPr>
        <w:spacing w:after="0" w:line="360" w:lineRule="auto"/>
        <w:jc w:val="center"/>
        <w:rPr>
          <w:rFonts w:eastAsia="Calibri"/>
          <w:b/>
          <w:color w:val="000000"/>
          <w:lang w:eastAsia="en-US"/>
        </w:rPr>
      </w:pPr>
      <w:r>
        <w:rPr>
          <w:rFonts w:eastAsia="Calibri"/>
          <w:b/>
          <w:color w:val="000000"/>
          <w:lang w:eastAsia="en-US"/>
        </w:rPr>
        <w:t>PİPERİDİN TÜREVİ BİLEŞİKLERİN ASETİLKOLİNESTERAZ, BÜTİRİLKOLİNESTERAZ ENZİMLERİ ÜZERİNDEKİ İNHİBİSYON ETKİLERİNİN ve ANTİBAKTERİYEL AKTİVİTELERİNİN İNCELENMESİ</w:t>
      </w:r>
    </w:p>
    <w:p w14:paraId="78A85439" w14:textId="77777777" w:rsidR="002B6F0C" w:rsidRPr="002B6F0C" w:rsidRDefault="002B6F0C" w:rsidP="002B6F0C">
      <w:pPr>
        <w:widowControl w:val="0"/>
        <w:spacing w:before="8" w:after="0" w:line="150" w:lineRule="atLeast"/>
        <w:ind w:right="-17"/>
        <w:jc w:val="center"/>
        <w:rPr>
          <w:rFonts w:eastAsia="Times New Roman"/>
          <w:color w:val="auto"/>
          <w:sz w:val="13"/>
          <w:szCs w:val="13"/>
          <w:lang w:eastAsia="en-US"/>
        </w:rPr>
      </w:pPr>
    </w:p>
    <w:p w14:paraId="6CB40CA9"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52569645"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5ECFBE0A"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62BA71D4"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25ADB6F2"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14502F18"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632B62A4"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12740CE4" w14:textId="77777777" w:rsidR="002B6F0C" w:rsidRPr="002B6F0C" w:rsidRDefault="002B6F0C" w:rsidP="002B6F0C">
      <w:pPr>
        <w:widowControl w:val="0"/>
        <w:spacing w:after="0" w:line="240" w:lineRule="auto"/>
        <w:ind w:right="-17"/>
        <w:jc w:val="center"/>
        <w:rPr>
          <w:rFonts w:eastAsia="Times New Roman"/>
          <w:color w:val="auto"/>
          <w:lang w:eastAsia="en-US"/>
        </w:rPr>
      </w:pPr>
      <w:r w:rsidRPr="002B6F0C">
        <w:rPr>
          <w:rFonts w:eastAsia="Calibri"/>
          <w:b/>
          <w:color w:val="auto"/>
          <w:spacing w:val="-1"/>
          <w:lang w:eastAsia="en-US"/>
        </w:rPr>
        <w:t>YÜKSEK</w:t>
      </w:r>
      <w:r w:rsidRPr="002B6F0C">
        <w:rPr>
          <w:rFonts w:eastAsia="Calibri"/>
          <w:b/>
          <w:color w:val="auto"/>
          <w:spacing w:val="-2"/>
          <w:lang w:eastAsia="en-US"/>
        </w:rPr>
        <w:t xml:space="preserve"> </w:t>
      </w:r>
      <w:r w:rsidRPr="002B6F0C">
        <w:rPr>
          <w:rFonts w:eastAsia="Calibri"/>
          <w:b/>
          <w:color w:val="auto"/>
          <w:spacing w:val="-1"/>
          <w:lang w:eastAsia="en-US"/>
        </w:rPr>
        <w:t>LİSANS</w:t>
      </w:r>
      <w:r w:rsidRPr="002B6F0C">
        <w:rPr>
          <w:rFonts w:eastAsia="Calibri"/>
          <w:b/>
          <w:color w:val="auto"/>
          <w:lang w:eastAsia="en-US"/>
        </w:rPr>
        <w:t xml:space="preserve"> </w:t>
      </w:r>
      <w:r w:rsidRPr="002B6F0C">
        <w:rPr>
          <w:rFonts w:eastAsia="Calibri"/>
          <w:b/>
          <w:color w:val="auto"/>
          <w:spacing w:val="-1"/>
          <w:lang w:eastAsia="en-US"/>
        </w:rPr>
        <w:t>TEZİ</w:t>
      </w:r>
    </w:p>
    <w:p w14:paraId="091F3C1B"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0E5190E8"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6A30D77D" w14:textId="77777777" w:rsidR="002B6F0C" w:rsidRPr="002B6F0C" w:rsidRDefault="002B6F0C" w:rsidP="002B6F0C">
      <w:pPr>
        <w:widowControl w:val="0"/>
        <w:spacing w:before="19" w:after="0" w:line="260" w:lineRule="atLeast"/>
        <w:ind w:right="-17"/>
        <w:jc w:val="center"/>
        <w:rPr>
          <w:rFonts w:eastAsia="Times New Roman"/>
          <w:color w:val="auto"/>
          <w:lang w:eastAsia="en-US"/>
        </w:rPr>
      </w:pPr>
    </w:p>
    <w:p w14:paraId="6EC7D3FD" w14:textId="3328D869" w:rsidR="002B6F0C" w:rsidRPr="002B6F0C" w:rsidRDefault="00363538" w:rsidP="002B6F0C">
      <w:pPr>
        <w:widowControl w:val="0"/>
        <w:spacing w:after="0" w:line="240" w:lineRule="auto"/>
        <w:ind w:right="-17"/>
        <w:jc w:val="center"/>
        <w:rPr>
          <w:rFonts w:eastAsia="Times New Roman"/>
          <w:color w:val="auto"/>
          <w:lang w:eastAsia="en-US"/>
        </w:rPr>
      </w:pPr>
      <w:r>
        <w:rPr>
          <w:rFonts w:eastAsia="Calibri"/>
          <w:b/>
          <w:color w:val="auto"/>
          <w:lang w:eastAsia="en-US"/>
        </w:rPr>
        <w:t>Levent ÇOŞKUN</w:t>
      </w:r>
    </w:p>
    <w:p w14:paraId="031C7B3D"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76B07D0B"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6BB9FD71" w14:textId="77777777" w:rsidR="002B6F0C" w:rsidRPr="002B6F0C" w:rsidRDefault="002B6F0C" w:rsidP="002B6F0C">
      <w:pPr>
        <w:widowControl w:val="0"/>
        <w:spacing w:before="18" w:after="0" w:line="260" w:lineRule="atLeast"/>
        <w:ind w:right="-17"/>
        <w:jc w:val="center"/>
        <w:rPr>
          <w:rFonts w:eastAsia="Times New Roman"/>
          <w:color w:val="auto"/>
          <w:sz w:val="36"/>
          <w:lang w:eastAsia="en-US"/>
        </w:rPr>
      </w:pPr>
    </w:p>
    <w:p w14:paraId="593CBEED" w14:textId="77777777" w:rsidR="002B6F0C" w:rsidRPr="002B6F0C" w:rsidRDefault="002B6F0C" w:rsidP="002B6F0C">
      <w:pPr>
        <w:widowControl w:val="0"/>
        <w:spacing w:after="0" w:line="360" w:lineRule="auto"/>
        <w:ind w:right="-17"/>
        <w:jc w:val="center"/>
        <w:rPr>
          <w:rFonts w:eastAsia="Times New Roman"/>
          <w:b/>
          <w:bCs/>
          <w:color w:val="auto"/>
          <w:spacing w:val="-1"/>
          <w:lang w:eastAsia="en-US"/>
        </w:rPr>
      </w:pPr>
      <w:r w:rsidRPr="002B6F0C">
        <w:rPr>
          <w:rFonts w:eastAsia="Times New Roman"/>
          <w:b/>
          <w:bCs/>
          <w:color w:val="auto"/>
          <w:spacing w:val="-1"/>
          <w:lang w:eastAsia="en-US"/>
        </w:rPr>
        <w:t>Gümüşhane</w:t>
      </w:r>
      <w:r w:rsidRPr="002B6F0C">
        <w:rPr>
          <w:rFonts w:eastAsia="Times New Roman"/>
          <w:b/>
          <w:bCs/>
          <w:color w:val="auto"/>
          <w:lang w:eastAsia="en-US"/>
        </w:rPr>
        <w:t xml:space="preserve"> </w:t>
      </w:r>
      <w:r w:rsidRPr="002B6F0C">
        <w:rPr>
          <w:rFonts w:eastAsia="Times New Roman"/>
          <w:b/>
          <w:bCs/>
          <w:color w:val="auto"/>
          <w:spacing w:val="-1"/>
          <w:lang w:eastAsia="en-US"/>
        </w:rPr>
        <w:t>Üniversitesi</w:t>
      </w:r>
      <w:r w:rsidRPr="002B6F0C">
        <w:rPr>
          <w:rFonts w:eastAsia="Times New Roman"/>
          <w:b/>
          <w:bCs/>
          <w:color w:val="auto"/>
          <w:lang w:eastAsia="en-US"/>
        </w:rPr>
        <w:t xml:space="preserve"> </w:t>
      </w:r>
      <w:r w:rsidRPr="002B6F0C">
        <w:rPr>
          <w:rFonts w:eastAsia="Times New Roman"/>
          <w:b/>
          <w:bCs/>
          <w:color w:val="auto"/>
          <w:spacing w:val="-2"/>
          <w:lang w:eastAsia="en-US"/>
        </w:rPr>
        <w:t>Fen</w:t>
      </w:r>
      <w:r w:rsidRPr="002B6F0C">
        <w:rPr>
          <w:rFonts w:eastAsia="Times New Roman"/>
          <w:b/>
          <w:bCs/>
          <w:color w:val="auto"/>
          <w:lang w:eastAsia="en-US"/>
        </w:rPr>
        <w:t xml:space="preserve"> </w:t>
      </w:r>
      <w:r w:rsidRPr="002B6F0C">
        <w:rPr>
          <w:rFonts w:eastAsia="Times New Roman"/>
          <w:b/>
          <w:bCs/>
          <w:color w:val="auto"/>
          <w:spacing w:val="-1"/>
          <w:lang w:eastAsia="en-US"/>
        </w:rPr>
        <w:t>Bilimleri</w:t>
      </w:r>
      <w:r w:rsidRPr="002B6F0C">
        <w:rPr>
          <w:rFonts w:eastAsia="Times New Roman"/>
          <w:b/>
          <w:bCs/>
          <w:color w:val="auto"/>
          <w:lang w:eastAsia="en-US"/>
        </w:rPr>
        <w:t xml:space="preserve"> </w:t>
      </w:r>
      <w:r w:rsidRPr="002B6F0C">
        <w:rPr>
          <w:rFonts w:eastAsia="Times New Roman"/>
          <w:b/>
          <w:bCs/>
          <w:color w:val="auto"/>
          <w:spacing w:val="-1"/>
          <w:lang w:eastAsia="en-US"/>
        </w:rPr>
        <w:t>Enstitüsü</w:t>
      </w:r>
    </w:p>
    <w:p w14:paraId="0A757313" w14:textId="77777777" w:rsidR="002B6F0C" w:rsidRPr="002B6F0C" w:rsidRDefault="002B6F0C" w:rsidP="002B6F0C">
      <w:pPr>
        <w:widowControl w:val="0"/>
        <w:spacing w:after="0" w:line="360" w:lineRule="auto"/>
        <w:ind w:right="-17"/>
        <w:jc w:val="center"/>
        <w:rPr>
          <w:rFonts w:eastAsia="Times New Roman"/>
          <w:b/>
          <w:bCs/>
          <w:color w:val="auto"/>
          <w:spacing w:val="35"/>
          <w:lang w:eastAsia="en-US"/>
        </w:rPr>
      </w:pPr>
      <w:r w:rsidRPr="002B6F0C">
        <w:rPr>
          <w:rFonts w:eastAsia="Times New Roman"/>
          <w:b/>
          <w:bCs/>
          <w:color w:val="auto"/>
          <w:spacing w:val="-1"/>
          <w:lang w:eastAsia="en-US"/>
        </w:rPr>
        <w:t>“Biyoteknoloji</w:t>
      </w:r>
      <w:r w:rsidRPr="002B6F0C">
        <w:rPr>
          <w:rFonts w:eastAsia="Times New Roman"/>
          <w:b/>
          <w:bCs/>
          <w:color w:val="auto"/>
          <w:lang w:eastAsia="en-US"/>
        </w:rPr>
        <w:t xml:space="preserve"> Anabilim</w:t>
      </w:r>
      <w:r w:rsidRPr="002B6F0C">
        <w:rPr>
          <w:rFonts w:eastAsia="Times New Roman"/>
          <w:b/>
          <w:bCs/>
          <w:color w:val="auto"/>
          <w:spacing w:val="-3"/>
          <w:lang w:eastAsia="en-US"/>
        </w:rPr>
        <w:t xml:space="preserve"> </w:t>
      </w:r>
      <w:r w:rsidRPr="002B6F0C">
        <w:rPr>
          <w:rFonts w:eastAsia="Times New Roman"/>
          <w:b/>
          <w:bCs/>
          <w:color w:val="auto"/>
          <w:lang w:eastAsia="en-US"/>
        </w:rPr>
        <w:t>Dalı”</w:t>
      </w:r>
    </w:p>
    <w:p w14:paraId="56CC65BC" w14:textId="77777777" w:rsidR="002B6F0C" w:rsidRPr="002B6F0C" w:rsidRDefault="002B6F0C" w:rsidP="002B6F0C">
      <w:pPr>
        <w:widowControl w:val="0"/>
        <w:spacing w:after="0" w:line="360" w:lineRule="auto"/>
        <w:ind w:right="-17"/>
        <w:jc w:val="center"/>
        <w:rPr>
          <w:rFonts w:eastAsia="Times New Roman"/>
          <w:color w:val="auto"/>
          <w:lang w:eastAsia="en-US"/>
        </w:rPr>
      </w:pPr>
      <w:r w:rsidRPr="002B6F0C">
        <w:rPr>
          <w:rFonts w:eastAsia="Times New Roman"/>
          <w:b/>
          <w:bCs/>
          <w:color w:val="auto"/>
          <w:lang w:eastAsia="en-US"/>
        </w:rPr>
        <w:t xml:space="preserve">Yüksek </w:t>
      </w:r>
      <w:r w:rsidRPr="002B6F0C">
        <w:rPr>
          <w:rFonts w:eastAsia="Times New Roman"/>
          <w:b/>
          <w:bCs/>
          <w:color w:val="auto"/>
          <w:spacing w:val="-1"/>
          <w:lang w:eastAsia="en-US"/>
        </w:rPr>
        <w:t>Lisans</w:t>
      </w:r>
      <w:r w:rsidRPr="002B6F0C">
        <w:rPr>
          <w:rFonts w:eastAsia="Times New Roman"/>
          <w:b/>
          <w:bCs/>
          <w:color w:val="auto"/>
          <w:lang w:eastAsia="en-US"/>
        </w:rPr>
        <w:t xml:space="preserve"> </w:t>
      </w:r>
      <w:r w:rsidRPr="002B6F0C">
        <w:rPr>
          <w:rFonts w:eastAsia="Times New Roman"/>
          <w:b/>
          <w:bCs/>
          <w:color w:val="auto"/>
          <w:spacing w:val="-1"/>
          <w:lang w:eastAsia="en-US"/>
        </w:rPr>
        <w:t>Programında</w:t>
      </w:r>
      <w:r w:rsidRPr="002B6F0C">
        <w:rPr>
          <w:rFonts w:eastAsia="Times New Roman"/>
          <w:b/>
          <w:bCs/>
          <w:color w:val="auto"/>
          <w:lang w:eastAsia="en-US"/>
        </w:rPr>
        <w:t xml:space="preserve"> </w:t>
      </w:r>
      <w:r w:rsidRPr="002B6F0C">
        <w:rPr>
          <w:rFonts w:eastAsia="Times New Roman"/>
          <w:b/>
          <w:bCs/>
          <w:color w:val="auto"/>
          <w:spacing w:val="-1"/>
          <w:lang w:eastAsia="en-US"/>
        </w:rPr>
        <w:t>Kabul</w:t>
      </w:r>
      <w:r w:rsidRPr="002B6F0C">
        <w:rPr>
          <w:rFonts w:eastAsia="Times New Roman"/>
          <w:b/>
          <w:bCs/>
          <w:color w:val="auto"/>
          <w:lang w:eastAsia="en-US"/>
        </w:rPr>
        <w:t xml:space="preserve"> </w:t>
      </w:r>
      <w:r w:rsidRPr="002B6F0C">
        <w:rPr>
          <w:rFonts w:eastAsia="Times New Roman"/>
          <w:b/>
          <w:bCs/>
          <w:color w:val="auto"/>
          <w:spacing w:val="-1"/>
          <w:lang w:eastAsia="en-US"/>
        </w:rPr>
        <w:t>Edilen</w:t>
      </w:r>
      <w:r w:rsidRPr="002B6F0C">
        <w:rPr>
          <w:rFonts w:eastAsia="Times New Roman"/>
          <w:b/>
          <w:bCs/>
          <w:color w:val="auto"/>
          <w:lang w:eastAsia="en-US"/>
        </w:rPr>
        <w:t xml:space="preserve"> T</w:t>
      </w:r>
      <w:r w:rsidRPr="002B6F0C">
        <w:rPr>
          <w:rFonts w:eastAsia="Times New Roman"/>
          <w:b/>
          <w:bCs/>
          <w:color w:val="auto"/>
          <w:spacing w:val="-1"/>
          <w:lang w:eastAsia="en-US"/>
        </w:rPr>
        <w:t>ezdir.</w:t>
      </w:r>
    </w:p>
    <w:p w14:paraId="7A67C239"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7992F83E"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164A6653" w14:textId="7E316114" w:rsidR="002B6F0C" w:rsidRPr="002B6F0C" w:rsidRDefault="002B6F0C" w:rsidP="002B6F0C">
      <w:pPr>
        <w:widowControl w:val="0"/>
        <w:tabs>
          <w:tab w:val="left" w:pos="5694"/>
        </w:tabs>
        <w:spacing w:after="0" w:line="449" w:lineRule="auto"/>
        <w:ind w:left="1764" w:right="-17"/>
        <w:jc w:val="both"/>
        <w:rPr>
          <w:rFonts w:eastAsia="Calibri"/>
          <w:b/>
          <w:color w:val="auto"/>
          <w:lang w:eastAsia="en-US"/>
        </w:rPr>
      </w:pPr>
      <w:r w:rsidRPr="002B6F0C">
        <w:rPr>
          <w:rFonts w:eastAsia="Calibri"/>
          <w:b/>
          <w:color w:val="auto"/>
          <w:spacing w:val="-1"/>
          <w:lang w:eastAsia="en-US"/>
        </w:rPr>
        <w:t>Tezin</w:t>
      </w:r>
      <w:r w:rsidRPr="002B6F0C">
        <w:rPr>
          <w:rFonts w:eastAsia="Calibri"/>
          <w:b/>
          <w:color w:val="auto"/>
          <w:spacing w:val="1"/>
          <w:lang w:eastAsia="en-US"/>
        </w:rPr>
        <w:t xml:space="preserve"> </w:t>
      </w:r>
      <w:r w:rsidRPr="002B6F0C">
        <w:rPr>
          <w:rFonts w:eastAsia="Calibri"/>
          <w:b/>
          <w:color w:val="auto"/>
          <w:spacing w:val="-1"/>
          <w:lang w:eastAsia="en-US"/>
        </w:rPr>
        <w:t>Enstitüye Verildiği</w:t>
      </w:r>
      <w:r w:rsidRPr="002B6F0C">
        <w:rPr>
          <w:rFonts w:eastAsia="Calibri"/>
          <w:b/>
          <w:color w:val="auto"/>
          <w:spacing w:val="-2"/>
          <w:lang w:eastAsia="en-US"/>
        </w:rPr>
        <w:t xml:space="preserve"> </w:t>
      </w:r>
      <w:r w:rsidRPr="002B6F0C">
        <w:rPr>
          <w:rFonts w:eastAsia="Calibri"/>
          <w:b/>
          <w:color w:val="auto"/>
          <w:spacing w:val="-1"/>
          <w:lang w:eastAsia="en-US"/>
        </w:rPr>
        <w:t>Tarih</w:t>
      </w:r>
      <w:r w:rsidRPr="002B6F0C">
        <w:rPr>
          <w:rFonts w:eastAsia="Calibri"/>
          <w:b/>
          <w:color w:val="auto"/>
          <w:spacing w:val="-1"/>
          <w:lang w:eastAsia="en-US"/>
        </w:rPr>
        <w:tab/>
      </w:r>
      <w:r w:rsidRPr="002B6F0C">
        <w:rPr>
          <w:rFonts w:eastAsia="Calibri"/>
          <w:b/>
          <w:color w:val="auto"/>
          <w:lang w:eastAsia="en-US"/>
        </w:rPr>
        <w:t xml:space="preserve">: </w:t>
      </w:r>
      <w:r w:rsidR="00363538">
        <w:rPr>
          <w:rFonts w:eastAsia="Calibri"/>
          <w:b/>
          <w:color w:val="auto"/>
          <w:lang w:eastAsia="en-US"/>
        </w:rPr>
        <w:t>19.02</w:t>
      </w:r>
      <w:r w:rsidRPr="002B6F0C">
        <w:rPr>
          <w:rFonts w:eastAsia="Calibri"/>
          <w:b/>
          <w:color w:val="auto"/>
          <w:lang w:eastAsia="en-US"/>
        </w:rPr>
        <w:t>.20</w:t>
      </w:r>
      <w:r w:rsidR="00363538">
        <w:rPr>
          <w:rFonts w:eastAsia="Calibri"/>
          <w:b/>
          <w:color w:val="auto"/>
          <w:lang w:eastAsia="en-US"/>
        </w:rPr>
        <w:t>21</w:t>
      </w:r>
    </w:p>
    <w:p w14:paraId="3F44451C" w14:textId="73D84FEC" w:rsidR="002B6F0C" w:rsidRPr="002B6F0C" w:rsidRDefault="002B6F0C" w:rsidP="002B6F0C">
      <w:pPr>
        <w:widowControl w:val="0"/>
        <w:tabs>
          <w:tab w:val="left" w:pos="5694"/>
        </w:tabs>
        <w:spacing w:after="0" w:line="449" w:lineRule="auto"/>
        <w:ind w:left="1764" w:right="-17"/>
        <w:jc w:val="both"/>
        <w:rPr>
          <w:rFonts w:eastAsia="Times New Roman"/>
          <w:color w:val="auto"/>
          <w:lang w:eastAsia="en-US"/>
        </w:rPr>
      </w:pPr>
      <w:r w:rsidRPr="002B6F0C">
        <w:rPr>
          <w:rFonts w:eastAsia="Calibri"/>
          <w:b/>
          <w:color w:val="auto"/>
          <w:spacing w:val="-1"/>
          <w:lang w:eastAsia="en-US"/>
        </w:rPr>
        <w:t>Tezin</w:t>
      </w:r>
      <w:r w:rsidRPr="002B6F0C">
        <w:rPr>
          <w:rFonts w:eastAsia="Calibri"/>
          <w:b/>
          <w:color w:val="auto"/>
          <w:spacing w:val="1"/>
          <w:lang w:eastAsia="en-US"/>
        </w:rPr>
        <w:t xml:space="preserve"> </w:t>
      </w:r>
      <w:r w:rsidRPr="002B6F0C">
        <w:rPr>
          <w:rFonts w:eastAsia="Calibri"/>
          <w:b/>
          <w:color w:val="auto"/>
          <w:spacing w:val="-1"/>
          <w:lang w:eastAsia="en-US"/>
        </w:rPr>
        <w:t>Sözlü</w:t>
      </w:r>
      <w:r w:rsidRPr="002B6F0C">
        <w:rPr>
          <w:rFonts w:eastAsia="Calibri"/>
          <w:b/>
          <w:color w:val="auto"/>
          <w:spacing w:val="1"/>
          <w:lang w:eastAsia="en-US"/>
        </w:rPr>
        <w:t xml:space="preserve"> </w:t>
      </w:r>
      <w:r w:rsidRPr="002B6F0C">
        <w:rPr>
          <w:rFonts w:eastAsia="Calibri"/>
          <w:b/>
          <w:color w:val="auto"/>
          <w:spacing w:val="-1"/>
          <w:lang w:eastAsia="en-US"/>
        </w:rPr>
        <w:t>Savunma</w:t>
      </w:r>
      <w:r w:rsidRPr="002B6F0C">
        <w:rPr>
          <w:rFonts w:eastAsia="Calibri"/>
          <w:b/>
          <w:color w:val="auto"/>
          <w:lang w:eastAsia="en-US"/>
        </w:rPr>
        <w:t xml:space="preserve"> Tarihi</w:t>
      </w:r>
      <w:r w:rsidRPr="002B6F0C">
        <w:rPr>
          <w:rFonts w:eastAsia="Calibri"/>
          <w:b/>
          <w:color w:val="auto"/>
          <w:lang w:eastAsia="en-US"/>
        </w:rPr>
        <w:tab/>
        <w:t xml:space="preserve">: </w:t>
      </w:r>
      <w:r w:rsidR="002B6DD4">
        <w:rPr>
          <w:rFonts w:eastAsia="Calibri"/>
          <w:b/>
          <w:color w:val="auto"/>
          <w:lang w:eastAsia="en-US"/>
        </w:rPr>
        <w:t>19</w:t>
      </w:r>
      <w:r w:rsidRPr="002B6F0C">
        <w:rPr>
          <w:rFonts w:eastAsia="Calibri"/>
          <w:b/>
          <w:color w:val="auto"/>
          <w:lang w:eastAsia="en-US"/>
        </w:rPr>
        <w:t>.0</w:t>
      </w:r>
      <w:r w:rsidR="00363538">
        <w:rPr>
          <w:rFonts w:eastAsia="Calibri"/>
          <w:b/>
          <w:color w:val="auto"/>
          <w:lang w:eastAsia="en-US"/>
        </w:rPr>
        <w:t>4.2021</w:t>
      </w:r>
    </w:p>
    <w:p w14:paraId="391C1D89"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06A5ECDC" w14:textId="77777777" w:rsidR="002B6F0C" w:rsidRPr="002B6F0C" w:rsidRDefault="002B6F0C" w:rsidP="002B6F0C">
      <w:pPr>
        <w:widowControl w:val="0"/>
        <w:spacing w:after="0" w:line="240" w:lineRule="atLeast"/>
        <w:ind w:right="-17"/>
        <w:jc w:val="center"/>
        <w:rPr>
          <w:rFonts w:eastAsia="Times New Roman"/>
          <w:color w:val="auto"/>
          <w:sz w:val="20"/>
          <w:szCs w:val="20"/>
          <w:lang w:eastAsia="en-US"/>
        </w:rPr>
      </w:pPr>
    </w:p>
    <w:p w14:paraId="267C7077" w14:textId="77777777" w:rsidR="002B6F0C" w:rsidRPr="002B6F0C" w:rsidRDefault="002B6F0C" w:rsidP="002B6F0C">
      <w:pPr>
        <w:widowControl w:val="0"/>
        <w:spacing w:after="0" w:line="240" w:lineRule="auto"/>
        <w:ind w:right="-17"/>
        <w:jc w:val="center"/>
        <w:rPr>
          <w:rFonts w:eastAsia="Times New Roman"/>
          <w:color w:val="auto"/>
          <w:sz w:val="18"/>
          <w:szCs w:val="20"/>
          <w:lang w:eastAsia="en-US"/>
        </w:rPr>
      </w:pPr>
    </w:p>
    <w:p w14:paraId="0EF35615" w14:textId="4D93543E" w:rsidR="002B6F0C" w:rsidRPr="002B6F0C" w:rsidRDefault="002B6DD4" w:rsidP="002B6F0C">
      <w:pPr>
        <w:widowControl w:val="0"/>
        <w:spacing w:after="0" w:line="240" w:lineRule="auto"/>
        <w:ind w:right="-17"/>
        <w:jc w:val="center"/>
        <w:rPr>
          <w:rFonts w:eastAsia="Times New Roman"/>
          <w:color w:val="auto"/>
          <w:lang w:eastAsia="en-US"/>
        </w:rPr>
        <w:sectPr w:rsidR="002B6F0C" w:rsidRPr="002B6F0C" w:rsidSect="004242D1">
          <w:pgSz w:w="11910" w:h="16840"/>
          <w:pgMar w:top="1580" w:right="1600" w:bottom="280" w:left="1680" w:header="708" w:footer="708" w:gutter="0"/>
          <w:pgNumType w:fmt="upperRoman"/>
          <w:cols w:space="708"/>
        </w:sectPr>
      </w:pPr>
      <w:r>
        <w:rPr>
          <w:rFonts w:eastAsia="Calibri"/>
          <w:b/>
          <w:color w:val="auto"/>
          <w:lang w:eastAsia="en-US"/>
        </w:rPr>
        <w:t>NİSAN</w:t>
      </w:r>
      <w:r w:rsidR="002B6F0C" w:rsidRPr="002B6F0C">
        <w:rPr>
          <w:rFonts w:eastAsia="Calibri"/>
          <w:b/>
          <w:color w:val="auto"/>
          <w:lang w:eastAsia="en-US"/>
        </w:rPr>
        <w:t xml:space="preserve"> </w:t>
      </w:r>
      <w:r w:rsidR="006778A4">
        <w:rPr>
          <w:rFonts w:eastAsia="Calibri"/>
          <w:b/>
          <w:color w:val="auto"/>
          <w:lang w:eastAsia="en-US"/>
        </w:rPr>
        <w:t>2021</w:t>
      </w:r>
    </w:p>
    <w:p w14:paraId="73ADA93D" w14:textId="77777777" w:rsidR="00B84D61" w:rsidRDefault="00B84D61" w:rsidP="00E05DD2"/>
    <w:p w14:paraId="442A8CA8" w14:textId="77777777" w:rsidR="00E05DD2" w:rsidRDefault="00E05DD2" w:rsidP="00E05DD2"/>
    <w:p w14:paraId="25A2B936" w14:textId="77777777" w:rsidR="006131D9" w:rsidRPr="00664EDE" w:rsidRDefault="006131D9" w:rsidP="006131D9">
      <w:pPr>
        <w:jc w:val="center"/>
        <w:rPr>
          <w:b/>
        </w:rPr>
      </w:pPr>
      <w:r w:rsidRPr="00664EDE">
        <w:rPr>
          <w:b/>
        </w:rPr>
        <w:t>TEZ BEYANNAMESİ</w:t>
      </w:r>
    </w:p>
    <w:p w14:paraId="6EA81CDD" w14:textId="77777777" w:rsidR="006131D9" w:rsidRPr="00664EDE" w:rsidRDefault="006131D9" w:rsidP="006131D9">
      <w:pPr>
        <w:jc w:val="both"/>
        <w:rPr>
          <w:b/>
        </w:rPr>
      </w:pPr>
    </w:p>
    <w:p w14:paraId="3F781194" w14:textId="78B8F7BF" w:rsidR="00B84D61" w:rsidRPr="00B84D61" w:rsidRDefault="00B84D61" w:rsidP="00B84D61">
      <w:pPr>
        <w:spacing w:after="0" w:line="360" w:lineRule="auto"/>
        <w:ind w:firstLine="567"/>
        <w:jc w:val="both"/>
        <w:rPr>
          <w:rFonts w:eastAsia="Calibri"/>
          <w:bCs/>
          <w:color w:val="auto"/>
          <w:lang w:eastAsia="en-US"/>
        </w:rPr>
      </w:pPr>
      <w:r w:rsidRPr="00B84D61">
        <w:rPr>
          <w:rFonts w:eastAsia="Calibri"/>
          <w:bCs/>
          <w:color w:val="auto"/>
          <w:lang w:eastAsia="en-US"/>
        </w:rPr>
        <w:t xml:space="preserve">Gümüşhane Üniversitesi Fen Bilimleri Enstitüsü Biyoteknoloji Anabilim Dalı’nda, tez yazım kurallarına uygun olarak hazırlamış olduğum </w:t>
      </w:r>
      <w:r w:rsidRPr="002C4694">
        <w:rPr>
          <w:rFonts w:eastAsia="Calibri"/>
          <w:bCs/>
          <w:color w:val="auto"/>
          <w:lang w:eastAsia="en-US"/>
        </w:rPr>
        <w:t>“</w:t>
      </w:r>
      <w:r w:rsidRPr="002C4694">
        <w:rPr>
          <w:rFonts w:eastAsia="Times New Roman"/>
          <w:bCs/>
          <w:color w:val="auto"/>
          <w:spacing w:val="-1"/>
          <w:w w:val="95"/>
          <w:lang w:val="en-US" w:eastAsia="en-US"/>
        </w:rPr>
        <w:t>Piperidin Türevi Bileşiklerin Asetilkolinesteraz, Bütirilkolinesteraz Enzimleri Üzerindeki İnhibisyon Etkilerinin ve Antibakteriyel Aktivitelerinin İncelenmesi</w:t>
      </w:r>
      <w:r w:rsidRPr="002C4694">
        <w:rPr>
          <w:rFonts w:eastAsia="Calibri"/>
          <w:bCs/>
          <w:color w:val="auto"/>
          <w:lang w:eastAsia="en-US"/>
        </w:rPr>
        <w:t>” isimli tez çalışmasında</w:t>
      </w:r>
      <w:r w:rsidRPr="00B84D61">
        <w:rPr>
          <w:rFonts w:eastAsia="Calibri"/>
          <w:bCs/>
          <w:color w:val="auto"/>
          <w:lang w:eastAsia="en-US"/>
        </w:rPr>
        <w:t>; bütün bilgi ve belgeleri genel akademik kurallar çerçevesinde elde ettiğimi, görsel ve yazılı bütün bilgi ve sonuçları bilimsel ahlak kurallarına uygun olarak hazırlayıp sunduğumu, başka kaynaklardan yararlandığım bilgileri metin ve kaynaklarda eksiksiz olarak gösterdiğimi, çalışma süresince bilimsel araştırma ve etik kurallara uygun olarak davrandığımı ve aksi durumda her türlü yasal sonu</w:t>
      </w:r>
      <w:r w:rsidR="008A1745">
        <w:rPr>
          <w:rFonts w:eastAsia="Calibri"/>
          <w:bCs/>
          <w:color w:val="auto"/>
          <w:lang w:eastAsia="en-US"/>
        </w:rPr>
        <w:t>cu kabul ettiğimi beyan ederim. 19</w:t>
      </w:r>
      <w:r w:rsidRPr="00B84D61">
        <w:rPr>
          <w:rFonts w:eastAsia="Calibri"/>
          <w:bCs/>
          <w:color w:val="auto"/>
          <w:lang w:eastAsia="en-US"/>
        </w:rPr>
        <w:t>/0</w:t>
      </w:r>
      <w:r w:rsidR="00526B57">
        <w:rPr>
          <w:rFonts w:eastAsia="Calibri"/>
          <w:bCs/>
          <w:color w:val="auto"/>
          <w:lang w:eastAsia="en-US"/>
        </w:rPr>
        <w:t>4</w:t>
      </w:r>
      <w:r w:rsidRPr="00B84D61">
        <w:rPr>
          <w:rFonts w:eastAsia="Calibri"/>
          <w:bCs/>
          <w:color w:val="auto"/>
          <w:lang w:eastAsia="en-US"/>
        </w:rPr>
        <w:t>/2021</w:t>
      </w:r>
    </w:p>
    <w:p w14:paraId="33552DE2" w14:textId="77777777" w:rsidR="005549BE" w:rsidRPr="00664EDE" w:rsidRDefault="005549BE" w:rsidP="006131D9">
      <w:pPr>
        <w:spacing w:line="360" w:lineRule="auto"/>
        <w:jc w:val="both"/>
      </w:pPr>
    </w:p>
    <w:p w14:paraId="65CE09AC" w14:textId="77777777" w:rsidR="00C87173" w:rsidRPr="00664EDE" w:rsidRDefault="00C87173" w:rsidP="005549BE">
      <w:pPr>
        <w:spacing w:line="360" w:lineRule="auto"/>
        <w:jc w:val="right"/>
      </w:pPr>
    </w:p>
    <w:p w14:paraId="68249ACA" w14:textId="7E1EF0EC" w:rsidR="00E95748" w:rsidRDefault="00E95748" w:rsidP="00011488">
      <w:pPr>
        <w:spacing w:after="0" w:line="360" w:lineRule="auto"/>
        <w:jc w:val="right"/>
        <w:sectPr w:rsidR="00E95748" w:rsidSect="00991836">
          <w:headerReference w:type="default" r:id="rId15"/>
          <w:footerReference w:type="default" r:id="rId16"/>
          <w:pgSz w:w="11906" w:h="16838" w:code="9"/>
          <w:pgMar w:top="1701" w:right="1274" w:bottom="1418" w:left="1701" w:header="709" w:footer="709" w:gutter="0"/>
          <w:pgNumType w:fmt="upperRoman" w:start="4"/>
          <w:cols w:space="708"/>
          <w:docGrid w:linePitch="360"/>
        </w:sectPr>
      </w:pPr>
      <w:r>
        <w:t>Levent ÇOŞKUN</w:t>
      </w:r>
    </w:p>
    <w:p w14:paraId="6CBCADC8" w14:textId="77777777" w:rsidR="00222B4C" w:rsidRPr="00222B4C" w:rsidRDefault="00222B4C" w:rsidP="00E95748">
      <w:pPr>
        <w:widowControl w:val="0"/>
        <w:tabs>
          <w:tab w:val="left" w:pos="4111"/>
        </w:tabs>
        <w:spacing w:before="102" w:after="120" w:line="448" w:lineRule="auto"/>
        <w:ind w:right="3056"/>
        <w:outlineLvl w:val="0"/>
        <w:rPr>
          <w:rFonts w:eastAsia="Times New Roman"/>
          <w:b/>
          <w:bCs/>
          <w:color w:val="auto"/>
          <w:spacing w:val="-1"/>
          <w:lang w:eastAsia="en-US"/>
        </w:rPr>
      </w:pPr>
    </w:p>
    <w:p w14:paraId="1D63B65D" w14:textId="77777777" w:rsidR="00222B4C" w:rsidRPr="00222B4C" w:rsidRDefault="00222B4C" w:rsidP="00222B4C">
      <w:pPr>
        <w:widowControl w:val="0"/>
        <w:spacing w:after="0" w:line="360" w:lineRule="auto"/>
        <w:ind w:firstLine="709"/>
        <w:jc w:val="center"/>
        <w:outlineLvl w:val="0"/>
        <w:rPr>
          <w:rFonts w:eastAsia="Times New Roman"/>
          <w:b/>
          <w:bCs/>
          <w:color w:val="auto"/>
          <w:lang w:eastAsia="en-US"/>
        </w:rPr>
      </w:pPr>
      <w:bookmarkStart w:id="0" w:name="_Toc46106188"/>
      <w:r w:rsidRPr="00222B4C">
        <w:rPr>
          <w:rFonts w:eastAsia="Times New Roman"/>
          <w:b/>
          <w:bCs/>
          <w:color w:val="auto"/>
          <w:lang w:eastAsia="en-US"/>
        </w:rPr>
        <w:t>ÖZET</w:t>
      </w:r>
      <w:bookmarkEnd w:id="0"/>
    </w:p>
    <w:p w14:paraId="1557C60F" w14:textId="77777777" w:rsidR="00222B4C" w:rsidRPr="00222B4C" w:rsidRDefault="00222B4C" w:rsidP="00222B4C">
      <w:pPr>
        <w:widowControl w:val="0"/>
        <w:spacing w:after="0" w:line="240" w:lineRule="auto"/>
        <w:ind w:firstLine="426"/>
        <w:jc w:val="center"/>
        <w:rPr>
          <w:rFonts w:eastAsia="Calibri"/>
          <w:color w:val="auto"/>
          <w:lang w:eastAsia="en-US"/>
        </w:rPr>
      </w:pPr>
      <w:r w:rsidRPr="00222B4C">
        <w:rPr>
          <w:rFonts w:eastAsia="Calibri"/>
          <w:b/>
          <w:color w:val="auto"/>
          <w:lang w:eastAsia="en-US"/>
        </w:rPr>
        <w:t>YÜKSEK LİSANS</w:t>
      </w:r>
      <w:r w:rsidRPr="00222B4C">
        <w:rPr>
          <w:rFonts w:eastAsia="Calibri"/>
          <w:color w:val="auto"/>
          <w:lang w:eastAsia="en-US"/>
        </w:rPr>
        <w:t xml:space="preserve"> </w:t>
      </w:r>
      <w:r w:rsidRPr="00222B4C">
        <w:rPr>
          <w:rFonts w:eastAsia="Calibri"/>
          <w:b/>
          <w:bCs/>
          <w:color w:val="auto"/>
          <w:lang w:eastAsia="en-US"/>
        </w:rPr>
        <w:t>TEZİ</w:t>
      </w:r>
    </w:p>
    <w:p w14:paraId="6355F0BC" w14:textId="77777777" w:rsidR="00222B4C" w:rsidRPr="00222B4C" w:rsidRDefault="00222B4C" w:rsidP="00222B4C">
      <w:pPr>
        <w:widowControl w:val="0"/>
        <w:spacing w:after="0" w:line="240" w:lineRule="atLeast"/>
        <w:rPr>
          <w:rFonts w:eastAsia="Times New Roman"/>
          <w:color w:val="auto"/>
          <w:sz w:val="20"/>
          <w:szCs w:val="20"/>
          <w:lang w:eastAsia="en-US"/>
        </w:rPr>
      </w:pPr>
    </w:p>
    <w:p w14:paraId="73013A7B" w14:textId="77777777" w:rsidR="00222B4C" w:rsidRPr="00222B4C" w:rsidRDefault="00222B4C" w:rsidP="00222B4C">
      <w:pPr>
        <w:widowControl w:val="0"/>
        <w:spacing w:after="0" w:line="240" w:lineRule="atLeast"/>
        <w:rPr>
          <w:rFonts w:eastAsia="Times New Roman"/>
          <w:color w:val="auto"/>
          <w:sz w:val="20"/>
          <w:szCs w:val="20"/>
          <w:lang w:eastAsia="en-US"/>
        </w:rPr>
      </w:pPr>
    </w:p>
    <w:p w14:paraId="112D66E4" w14:textId="77777777" w:rsidR="00222B4C" w:rsidRPr="00222B4C" w:rsidRDefault="00222B4C" w:rsidP="00222B4C">
      <w:pPr>
        <w:widowControl w:val="0"/>
        <w:spacing w:after="0" w:line="240" w:lineRule="atLeast"/>
        <w:rPr>
          <w:rFonts w:eastAsia="Times New Roman"/>
          <w:color w:val="auto"/>
          <w:sz w:val="20"/>
          <w:szCs w:val="20"/>
          <w:lang w:eastAsia="en-US"/>
        </w:rPr>
      </w:pPr>
    </w:p>
    <w:p w14:paraId="15D0E304" w14:textId="77777777" w:rsidR="00222B4C" w:rsidRPr="00222B4C" w:rsidRDefault="00222B4C" w:rsidP="00222B4C">
      <w:pPr>
        <w:widowControl w:val="0"/>
        <w:spacing w:after="0" w:line="240" w:lineRule="atLeast"/>
        <w:rPr>
          <w:rFonts w:eastAsia="Times New Roman"/>
          <w:color w:val="auto"/>
          <w:sz w:val="20"/>
          <w:szCs w:val="20"/>
          <w:lang w:eastAsia="en-US"/>
        </w:rPr>
      </w:pPr>
    </w:p>
    <w:p w14:paraId="09A1CE0C" w14:textId="46A65238" w:rsidR="00222B4C" w:rsidRPr="00222B4C" w:rsidRDefault="00222B4C" w:rsidP="00222B4C">
      <w:pPr>
        <w:spacing w:after="0" w:line="360" w:lineRule="auto"/>
        <w:jc w:val="center"/>
        <w:rPr>
          <w:rFonts w:eastAsia="Calibri"/>
          <w:b/>
          <w:color w:val="000000"/>
          <w:lang w:eastAsia="en-US"/>
        </w:rPr>
      </w:pPr>
      <w:r>
        <w:rPr>
          <w:rFonts w:eastAsia="Calibri"/>
          <w:b/>
          <w:color w:val="000000"/>
          <w:lang w:eastAsia="en-US"/>
        </w:rPr>
        <w:t xml:space="preserve">PİPERİDİN TÜREVİ BİLEŞİKLERİN ASETİLKOLİNESTERAZ, BÜTİRİLKOLİNESTERAZ ENZİMLERİ ÜZERİNDEKİ </w:t>
      </w:r>
      <w:r w:rsidR="002B6DD4">
        <w:rPr>
          <w:rFonts w:eastAsia="Calibri"/>
          <w:b/>
          <w:color w:val="000000"/>
          <w:lang w:eastAsia="en-US"/>
        </w:rPr>
        <w:t>İNHİBİSYON ETKİLERİNİN ve ANTİBAKTERİYEL AKTİVİTELERİNİN İNCELENMESİ</w:t>
      </w:r>
    </w:p>
    <w:p w14:paraId="1F6A61AD" w14:textId="77777777" w:rsidR="00222B4C" w:rsidRPr="00222B4C" w:rsidRDefault="00222B4C" w:rsidP="00222B4C">
      <w:pPr>
        <w:widowControl w:val="0"/>
        <w:spacing w:after="0" w:line="240" w:lineRule="atLeast"/>
        <w:rPr>
          <w:rFonts w:eastAsia="Times New Roman"/>
          <w:color w:val="auto"/>
          <w:sz w:val="20"/>
          <w:szCs w:val="20"/>
          <w:lang w:eastAsia="en-US"/>
        </w:rPr>
      </w:pPr>
    </w:p>
    <w:p w14:paraId="4F31EFFB" w14:textId="77777777" w:rsidR="00222B4C" w:rsidRPr="00222B4C" w:rsidRDefault="00222B4C" w:rsidP="00222B4C">
      <w:pPr>
        <w:widowControl w:val="0"/>
        <w:spacing w:after="0" w:line="240" w:lineRule="atLeast"/>
        <w:rPr>
          <w:rFonts w:eastAsia="Times New Roman"/>
          <w:color w:val="auto"/>
          <w:sz w:val="20"/>
          <w:szCs w:val="20"/>
          <w:lang w:eastAsia="en-US"/>
        </w:rPr>
      </w:pPr>
    </w:p>
    <w:p w14:paraId="49D04A9F" w14:textId="77777777" w:rsidR="00222B4C" w:rsidRPr="00222B4C" w:rsidRDefault="00222B4C" w:rsidP="00222B4C">
      <w:pPr>
        <w:widowControl w:val="0"/>
        <w:spacing w:after="0" w:line="240" w:lineRule="atLeast"/>
        <w:rPr>
          <w:rFonts w:eastAsia="Times New Roman"/>
          <w:color w:val="auto"/>
          <w:sz w:val="20"/>
          <w:szCs w:val="20"/>
          <w:lang w:eastAsia="en-US"/>
        </w:rPr>
      </w:pPr>
    </w:p>
    <w:p w14:paraId="56CB98D1" w14:textId="77777777" w:rsidR="00222B4C" w:rsidRPr="00222B4C" w:rsidRDefault="00222B4C" w:rsidP="00222B4C">
      <w:pPr>
        <w:widowControl w:val="0"/>
        <w:spacing w:after="0" w:line="240" w:lineRule="atLeast"/>
        <w:rPr>
          <w:rFonts w:eastAsia="Times New Roman"/>
          <w:color w:val="auto"/>
          <w:sz w:val="20"/>
          <w:szCs w:val="20"/>
          <w:lang w:eastAsia="en-US"/>
        </w:rPr>
      </w:pPr>
    </w:p>
    <w:p w14:paraId="5BB268B5" w14:textId="77777777" w:rsidR="00222B4C" w:rsidRPr="00222B4C" w:rsidRDefault="00222B4C" w:rsidP="00222B4C">
      <w:pPr>
        <w:widowControl w:val="0"/>
        <w:spacing w:before="15" w:after="0" w:line="260" w:lineRule="atLeast"/>
        <w:rPr>
          <w:rFonts w:eastAsia="Times New Roman"/>
          <w:color w:val="auto"/>
          <w:lang w:eastAsia="en-US"/>
        </w:rPr>
      </w:pPr>
    </w:p>
    <w:p w14:paraId="6667DF56" w14:textId="0790623C" w:rsidR="00222B4C" w:rsidRPr="00222B4C" w:rsidRDefault="002B6DD4" w:rsidP="00222B4C">
      <w:pPr>
        <w:widowControl w:val="0"/>
        <w:spacing w:after="0" w:line="240" w:lineRule="auto"/>
        <w:ind w:left="2013" w:right="2031"/>
        <w:jc w:val="center"/>
        <w:rPr>
          <w:rFonts w:eastAsia="Times New Roman"/>
          <w:color w:val="auto"/>
          <w:kern w:val="16"/>
          <w:lang w:eastAsia="en-US"/>
        </w:rPr>
      </w:pPr>
      <w:r>
        <w:rPr>
          <w:rFonts w:eastAsia="Times New Roman"/>
          <w:color w:val="auto"/>
          <w:kern w:val="16"/>
          <w:lang w:eastAsia="en-US"/>
        </w:rPr>
        <w:t>Levent ÇOŞKUN</w:t>
      </w:r>
    </w:p>
    <w:p w14:paraId="39EFE28D" w14:textId="77777777" w:rsidR="00222B4C" w:rsidRPr="00222B4C" w:rsidRDefault="00222B4C" w:rsidP="00222B4C">
      <w:pPr>
        <w:widowControl w:val="0"/>
        <w:spacing w:after="0" w:line="240" w:lineRule="atLeast"/>
        <w:rPr>
          <w:rFonts w:eastAsia="Times New Roman"/>
          <w:color w:val="auto"/>
          <w:sz w:val="20"/>
          <w:szCs w:val="20"/>
          <w:lang w:eastAsia="en-US"/>
        </w:rPr>
      </w:pPr>
    </w:p>
    <w:p w14:paraId="42D2FBD0" w14:textId="77777777" w:rsidR="00222B4C" w:rsidRPr="00222B4C" w:rsidRDefault="00222B4C" w:rsidP="00222B4C">
      <w:pPr>
        <w:widowControl w:val="0"/>
        <w:spacing w:after="0" w:line="240" w:lineRule="atLeast"/>
        <w:rPr>
          <w:rFonts w:eastAsia="Times New Roman"/>
          <w:color w:val="auto"/>
          <w:sz w:val="20"/>
          <w:szCs w:val="20"/>
          <w:lang w:eastAsia="en-US"/>
        </w:rPr>
      </w:pPr>
    </w:p>
    <w:p w14:paraId="33132411" w14:textId="77777777" w:rsidR="00222B4C" w:rsidRPr="00222B4C" w:rsidRDefault="00222B4C" w:rsidP="00222B4C">
      <w:pPr>
        <w:widowControl w:val="0"/>
        <w:spacing w:after="0" w:line="240" w:lineRule="atLeast"/>
        <w:rPr>
          <w:rFonts w:eastAsia="Times New Roman"/>
          <w:color w:val="auto"/>
          <w:sz w:val="20"/>
          <w:szCs w:val="20"/>
          <w:lang w:eastAsia="en-US"/>
        </w:rPr>
      </w:pPr>
    </w:p>
    <w:p w14:paraId="005B8149" w14:textId="77777777" w:rsidR="00222B4C" w:rsidRPr="00222B4C" w:rsidRDefault="00222B4C" w:rsidP="00222B4C">
      <w:pPr>
        <w:widowControl w:val="0"/>
        <w:spacing w:before="18" w:after="0" w:line="340" w:lineRule="atLeast"/>
        <w:rPr>
          <w:rFonts w:eastAsia="Times New Roman"/>
          <w:color w:val="auto"/>
          <w:sz w:val="29"/>
          <w:szCs w:val="29"/>
          <w:lang w:eastAsia="en-US"/>
        </w:rPr>
      </w:pPr>
    </w:p>
    <w:p w14:paraId="517B9094" w14:textId="77777777" w:rsidR="00222B4C" w:rsidRPr="00222B4C" w:rsidRDefault="00222B4C" w:rsidP="008A1745">
      <w:pPr>
        <w:widowControl w:val="0"/>
        <w:spacing w:after="0" w:line="359" w:lineRule="auto"/>
        <w:ind w:left="3311" w:right="3261"/>
        <w:jc w:val="center"/>
        <w:rPr>
          <w:rFonts w:eastAsia="Times New Roman"/>
          <w:color w:val="auto"/>
          <w:kern w:val="16"/>
          <w:lang w:eastAsia="en-US"/>
        </w:rPr>
      </w:pPr>
      <w:r w:rsidRPr="00222B4C">
        <w:rPr>
          <w:rFonts w:eastAsia="Times New Roman"/>
          <w:color w:val="auto"/>
          <w:spacing w:val="-1"/>
          <w:kern w:val="16"/>
          <w:lang w:eastAsia="en-US"/>
        </w:rPr>
        <w:t>Gümüşhane Üniversitesi</w:t>
      </w:r>
      <w:r w:rsidRPr="00222B4C">
        <w:rPr>
          <w:rFonts w:eastAsia="Times New Roman"/>
          <w:color w:val="auto"/>
          <w:spacing w:val="37"/>
          <w:kern w:val="16"/>
          <w:lang w:eastAsia="en-US"/>
        </w:rPr>
        <w:t xml:space="preserve"> </w:t>
      </w:r>
      <w:r w:rsidRPr="00222B4C">
        <w:rPr>
          <w:rFonts w:eastAsia="Times New Roman"/>
          <w:color w:val="auto"/>
          <w:spacing w:val="-1"/>
          <w:kern w:val="16"/>
          <w:lang w:eastAsia="en-US"/>
        </w:rPr>
        <w:t>Fen</w:t>
      </w:r>
      <w:r w:rsidRPr="00222B4C">
        <w:rPr>
          <w:rFonts w:eastAsia="Times New Roman"/>
          <w:color w:val="auto"/>
          <w:spacing w:val="2"/>
          <w:kern w:val="16"/>
          <w:lang w:eastAsia="en-US"/>
        </w:rPr>
        <w:t xml:space="preserve"> </w:t>
      </w:r>
      <w:r w:rsidRPr="00222B4C">
        <w:rPr>
          <w:rFonts w:eastAsia="Times New Roman"/>
          <w:color w:val="auto"/>
          <w:spacing w:val="-1"/>
          <w:kern w:val="16"/>
          <w:lang w:eastAsia="en-US"/>
        </w:rPr>
        <w:t>Bilimleri</w:t>
      </w:r>
      <w:r w:rsidRPr="00222B4C">
        <w:rPr>
          <w:rFonts w:eastAsia="Times New Roman"/>
          <w:color w:val="auto"/>
          <w:spacing w:val="1"/>
          <w:kern w:val="16"/>
          <w:lang w:eastAsia="en-US"/>
        </w:rPr>
        <w:t xml:space="preserve"> </w:t>
      </w:r>
      <w:r w:rsidRPr="00222B4C">
        <w:rPr>
          <w:rFonts w:eastAsia="Times New Roman"/>
          <w:color w:val="auto"/>
          <w:spacing w:val="-1"/>
          <w:kern w:val="16"/>
          <w:lang w:eastAsia="en-US"/>
        </w:rPr>
        <w:t>Enstitüsü</w:t>
      </w:r>
    </w:p>
    <w:p w14:paraId="0C666D6A" w14:textId="77777777" w:rsidR="00222B4C" w:rsidRPr="00222B4C" w:rsidRDefault="00222B4C" w:rsidP="008A1745">
      <w:pPr>
        <w:widowControl w:val="0"/>
        <w:spacing w:before="7" w:after="0" w:line="240" w:lineRule="auto"/>
        <w:ind w:left="157" w:right="172"/>
        <w:jc w:val="center"/>
        <w:rPr>
          <w:rFonts w:eastAsia="Times New Roman"/>
          <w:color w:val="auto"/>
          <w:kern w:val="16"/>
          <w:lang w:eastAsia="en-US"/>
        </w:rPr>
      </w:pPr>
      <w:r w:rsidRPr="00222B4C">
        <w:rPr>
          <w:rFonts w:eastAsia="Times New Roman"/>
          <w:color w:val="auto"/>
          <w:spacing w:val="-1"/>
          <w:kern w:val="16"/>
          <w:lang w:eastAsia="en-US"/>
        </w:rPr>
        <w:t>Biyoteknoloji</w:t>
      </w:r>
      <w:r w:rsidRPr="00222B4C">
        <w:rPr>
          <w:rFonts w:eastAsia="Times New Roman"/>
          <w:color w:val="auto"/>
          <w:kern w:val="16"/>
          <w:lang w:eastAsia="en-US"/>
        </w:rPr>
        <w:t xml:space="preserve"> </w:t>
      </w:r>
      <w:r w:rsidRPr="00222B4C">
        <w:rPr>
          <w:rFonts w:eastAsia="Times New Roman"/>
          <w:color w:val="auto"/>
          <w:spacing w:val="-1"/>
          <w:kern w:val="16"/>
          <w:lang w:eastAsia="en-US"/>
        </w:rPr>
        <w:t>Anabilim</w:t>
      </w:r>
      <w:r w:rsidRPr="00222B4C">
        <w:rPr>
          <w:rFonts w:eastAsia="Times New Roman"/>
          <w:color w:val="auto"/>
          <w:kern w:val="16"/>
          <w:lang w:eastAsia="en-US"/>
        </w:rPr>
        <w:t xml:space="preserve"> </w:t>
      </w:r>
      <w:r w:rsidRPr="00222B4C">
        <w:rPr>
          <w:rFonts w:eastAsia="Times New Roman"/>
          <w:color w:val="auto"/>
          <w:spacing w:val="-1"/>
          <w:kern w:val="16"/>
          <w:lang w:eastAsia="en-US"/>
        </w:rPr>
        <w:t>Dalı</w:t>
      </w:r>
    </w:p>
    <w:p w14:paraId="50802FBB" w14:textId="77777777" w:rsidR="00222B4C" w:rsidRPr="00222B4C" w:rsidRDefault="00222B4C" w:rsidP="00222B4C">
      <w:pPr>
        <w:widowControl w:val="0"/>
        <w:spacing w:before="10" w:after="0" w:line="120" w:lineRule="atLeast"/>
        <w:rPr>
          <w:rFonts w:eastAsia="Times New Roman"/>
          <w:color w:val="auto"/>
          <w:sz w:val="10"/>
          <w:szCs w:val="10"/>
          <w:lang w:eastAsia="en-US"/>
        </w:rPr>
      </w:pPr>
    </w:p>
    <w:p w14:paraId="60B409EC" w14:textId="77777777" w:rsidR="00222B4C" w:rsidRPr="00222B4C" w:rsidRDefault="00222B4C" w:rsidP="00222B4C">
      <w:pPr>
        <w:widowControl w:val="0"/>
        <w:spacing w:after="0" w:line="240" w:lineRule="atLeast"/>
        <w:rPr>
          <w:rFonts w:eastAsia="Times New Roman"/>
          <w:color w:val="auto"/>
          <w:sz w:val="20"/>
          <w:szCs w:val="20"/>
          <w:lang w:eastAsia="en-US"/>
        </w:rPr>
      </w:pPr>
    </w:p>
    <w:p w14:paraId="75ED9FA3" w14:textId="77777777" w:rsidR="00222B4C" w:rsidRPr="00222B4C" w:rsidRDefault="00222B4C" w:rsidP="00222B4C">
      <w:pPr>
        <w:widowControl w:val="0"/>
        <w:spacing w:after="0" w:line="240" w:lineRule="atLeast"/>
        <w:rPr>
          <w:rFonts w:eastAsia="Times New Roman"/>
          <w:color w:val="auto"/>
          <w:sz w:val="20"/>
          <w:szCs w:val="20"/>
          <w:lang w:eastAsia="en-US"/>
        </w:rPr>
      </w:pPr>
    </w:p>
    <w:p w14:paraId="3812288D" w14:textId="77777777" w:rsidR="00222B4C" w:rsidRPr="00222B4C" w:rsidRDefault="00222B4C" w:rsidP="00222B4C">
      <w:pPr>
        <w:widowControl w:val="0"/>
        <w:spacing w:after="0" w:line="240" w:lineRule="atLeast"/>
        <w:rPr>
          <w:rFonts w:eastAsia="Times New Roman"/>
          <w:color w:val="auto"/>
          <w:sz w:val="20"/>
          <w:szCs w:val="20"/>
          <w:lang w:eastAsia="en-US"/>
        </w:rPr>
      </w:pPr>
    </w:p>
    <w:p w14:paraId="2BAA7846" w14:textId="77777777" w:rsidR="00222B4C" w:rsidRPr="00222B4C" w:rsidRDefault="00222B4C" w:rsidP="00222B4C">
      <w:pPr>
        <w:widowControl w:val="0"/>
        <w:spacing w:after="0" w:line="240" w:lineRule="atLeast"/>
        <w:rPr>
          <w:rFonts w:eastAsia="Times New Roman"/>
          <w:color w:val="auto"/>
          <w:sz w:val="20"/>
          <w:szCs w:val="20"/>
          <w:lang w:eastAsia="en-US"/>
        </w:rPr>
      </w:pPr>
    </w:p>
    <w:p w14:paraId="3F1A1401" w14:textId="61C35AD1" w:rsidR="00905584" w:rsidRPr="00664EDE" w:rsidRDefault="00905584" w:rsidP="00905584">
      <w:pPr>
        <w:tabs>
          <w:tab w:val="left" w:pos="3045"/>
        </w:tabs>
        <w:spacing w:line="360" w:lineRule="auto"/>
        <w:jc w:val="center"/>
      </w:pPr>
      <w:r>
        <w:t>Danışman</w:t>
      </w:r>
      <w:r w:rsidRPr="00664EDE">
        <w:t xml:space="preserve">: </w:t>
      </w:r>
      <w:r>
        <w:t>Doç. Dr</w:t>
      </w:r>
      <w:r w:rsidRPr="00664EDE">
        <w:t xml:space="preserve">. </w:t>
      </w:r>
      <w:r>
        <w:rPr>
          <w:spacing w:val="-1"/>
        </w:rPr>
        <w:t>Sevim Beyza ÖZTÜRK SARIKAYA</w:t>
      </w:r>
    </w:p>
    <w:p w14:paraId="667E421A" w14:textId="3F7E251F" w:rsidR="00905584" w:rsidRPr="00664EDE" w:rsidRDefault="00905584" w:rsidP="000577F7">
      <w:pPr>
        <w:tabs>
          <w:tab w:val="left" w:pos="1134"/>
        </w:tabs>
        <w:spacing w:line="360" w:lineRule="auto"/>
        <w:jc w:val="center"/>
      </w:pPr>
      <w:r w:rsidRPr="00A155B5">
        <w:t>2021</w:t>
      </w:r>
      <w:r>
        <w:t xml:space="preserve">, </w:t>
      </w:r>
      <w:r w:rsidR="002F3D14">
        <w:t>5</w:t>
      </w:r>
      <w:r w:rsidR="00113F90">
        <w:t>2</w:t>
      </w:r>
      <w:r w:rsidRPr="00A155B5">
        <w:t xml:space="preserve"> </w:t>
      </w:r>
      <w:r>
        <w:t>sayfa</w:t>
      </w:r>
    </w:p>
    <w:p w14:paraId="52292DB7" w14:textId="77777777" w:rsidR="00222B4C" w:rsidRPr="00222B4C" w:rsidRDefault="00222B4C" w:rsidP="00222B4C">
      <w:pPr>
        <w:widowControl w:val="0"/>
        <w:spacing w:after="0" w:line="240" w:lineRule="atLeast"/>
        <w:rPr>
          <w:rFonts w:eastAsia="Times New Roman"/>
          <w:color w:val="auto"/>
          <w:sz w:val="20"/>
          <w:szCs w:val="20"/>
          <w:lang w:eastAsia="en-US"/>
        </w:rPr>
      </w:pPr>
    </w:p>
    <w:p w14:paraId="10CB99A1" w14:textId="77777777" w:rsidR="00222B4C" w:rsidRPr="00222B4C" w:rsidRDefault="00222B4C" w:rsidP="00222B4C">
      <w:pPr>
        <w:widowControl w:val="0"/>
        <w:spacing w:after="0" w:line="240" w:lineRule="atLeast"/>
        <w:rPr>
          <w:rFonts w:eastAsia="Times New Roman"/>
          <w:color w:val="auto"/>
          <w:sz w:val="20"/>
          <w:szCs w:val="20"/>
          <w:lang w:eastAsia="en-US"/>
        </w:rPr>
      </w:pPr>
    </w:p>
    <w:p w14:paraId="6DD1684A" w14:textId="77777777" w:rsidR="00222B4C" w:rsidRPr="00222B4C" w:rsidRDefault="00222B4C" w:rsidP="00222B4C">
      <w:pPr>
        <w:widowControl w:val="0"/>
        <w:spacing w:before="17" w:after="0" w:line="240" w:lineRule="atLeast"/>
        <w:rPr>
          <w:rFonts w:eastAsia="Times New Roman"/>
          <w:color w:val="auto"/>
          <w:sz w:val="20"/>
          <w:szCs w:val="20"/>
          <w:lang w:eastAsia="en-US"/>
        </w:rPr>
      </w:pPr>
    </w:p>
    <w:p w14:paraId="78BF6BE3" w14:textId="43DA82F6" w:rsidR="000502EF" w:rsidRPr="002B6DD4" w:rsidRDefault="002B6DD4" w:rsidP="0030587D">
      <w:pPr>
        <w:spacing w:after="0" w:line="360" w:lineRule="auto"/>
        <w:jc w:val="both"/>
      </w:pPr>
      <w:r>
        <w:rPr>
          <w:rFonts w:eastAsia="Times New Roman"/>
          <w:color w:val="000000"/>
        </w:rPr>
        <w:t>Al</w:t>
      </w:r>
      <w:r w:rsidR="0077689D" w:rsidRPr="000502EF">
        <w:rPr>
          <w:rFonts w:eastAsia="Times New Roman"/>
          <w:color w:val="000000"/>
        </w:rPr>
        <w:t>zheime</w:t>
      </w:r>
      <w:r w:rsidR="0077689D">
        <w:rPr>
          <w:rFonts w:eastAsia="Times New Roman"/>
          <w:color w:val="000000"/>
        </w:rPr>
        <w:t>r son zamanlarda çok yaygın olarak görülen</w:t>
      </w:r>
      <w:r w:rsidR="0077689D" w:rsidRPr="000502EF">
        <w:rPr>
          <w:rFonts w:eastAsia="Times New Roman"/>
          <w:color w:val="000000"/>
        </w:rPr>
        <w:t xml:space="preserve"> bir demans hastalığıdır ve kesin tedavisi yoktur. Beyindeki nörotransmitterlerin azalmasına neden olan bu hastalıkta en fazla azalma gösteren nörotransmitter asetilkolindir.  Hastalığın tedavisi ya da engellenebilmesi için asetilkolinin yıkımı azaltılmalıdır bu ise ancak asetilkolini yıkan astilkolinesterazın (AChE) inhibisyonu ile mümkündür. Bilimsel araştırmalarla henüz bütirilkolinesterazın (BChE) farmakolojik rolü kesin olarak belirlenmiş olmasada, enzimin dejeneratif değişiklikler ile beyindeki asetilkolin hidrolizi sırasında dengeleyici bir role sahip olabileceği bildirilmiştir. Tedavi amacıyla günümüzde Takrin ve Rivastigmin gibi </w:t>
      </w:r>
      <w:r w:rsidR="0077689D" w:rsidRPr="000502EF">
        <w:rPr>
          <w:rFonts w:eastAsia="Times New Roman"/>
          <w:color w:val="000000"/>
        </w:rPr>
        <w:lastRenderedPageBreak/>
        <w:t xml:space="preserve">kolinesteraz inhibitörleri kullanılmakta olup bilinen birçok yan etkileri bulunmaktadır. Piperidin yapısında bulunan ve Alzheimer tedavisinde ilaç </w:t>
      </w:r>
      <w:r>
        <w:rPr>
          <w:rFonts w:eastAsia="Times New Roman"/>
          <w:color w:val="000000"/>
        </w:rPr>
        <w:t xml:space="preserve">olarak kullanılan donepezil ise </w:t>
      </w:r>
      <w:r w:rsidR="000502EF" w:rsidRPr="000502EF">
        <w:rPr>
          <w:rFonts w:eastAsia="Times New Roman"/>
          <w:color w:val="000000"/>
        </w:rPr>
        <w:t>diğer ilaçlara göre daha seçicidir, yan etkileri daha az görülmektedir ve merkezi sinir sistemindeki asetilkolinesterazlara yüksek oranda özgül olması ilacın önemli bir üstünlüğüdür.</w:t>
      </w:r>
      <w:r w:rsidR="000502EF" w:rsidRPr="000502EF">
        <w:rPr>
          <w:rFonts w:ascii="Calibri" w:eastAsia="Calibri" w:hAnsi="Calibri"/>
          <w:color w:val="auto"/>
          <w:sz w:val="22"/>
          <w:szCs w:val="22"/>
          <w:lang w:val="en-US" w:eastAsia="en-US"/>
        </w:rPr>
        <w:t xml:space="preserve"> </w:t>
      </w:r>
      <w:r w:rsidR="000502EF" w:rsidRPr="000502EF">
        <w:rPr>
          <w:rFonts w:eastAsia="Times New Roman"/>
          <w:color w:val="000000"/>
        </w:rPr>
        <w:t>Donepezil gibi birçok piperidin türevi farmakolojik olarak aktif bileşiklerin ve önemli ilaçların temel yapısını oluşturmaktadır.</w:t>
      </w:r>
    </w:p>
    <w:p w14:paraId="629AE683" w14:textId="3347456D" w:rsidR="000502EF" w:rsidRPr="000502EF" w:rsidRDefault="000502EF" w:rsidP="0030587D">
      <w:pPr>
        <w:widowControl w:val="0"/>
        <w:spacing w:after="0" w:line="360" w:lineRule="auto"/>
        <w:ind w:firstLine="567"/>
        <w:jc w:val="both"/>
        <w:rPr>
          <w:rFonts w:eastAsia="Times New Roman"/>
          <w:color w:val="000000"/>
        </w:rPr>
      </w:pPr>
      <w:r w:rsidRPr="000502EF">
        <w:rPr>
          <w:rFonts w:eastAsia="Times New Roman"/>
          <w:color w:val="000000"/>
        </w:rPr>
        <w:t>Çalışmamızda piperidin türevi olan (1-metil-4-hidroksi-4-fenilp</w:t>
      </w:r>
      <w:r w:rsidR="00743317">
        <w:rPr>
          <w:rFonts w:eastAsia="Times New Roman"/>
          <w:color w:val="000000"/>
        </w:rPr>
        <w:t xml:space="preserve">iperidin-3-il)(fenil)metanon, </w:t>
      </w:r>
      <w:r w:rsidRPr="000502EF">
        <w:rPr>
          <w:rFonts w:eastAsia="Times New Roman"/>
          <w:color w:val="000000"/>
        </w:rPr>
        <w:t>(1-etil-4-hidroksi-4-fenilpiperidin-3-il)(fenil)metanon bileşiklerinin</w:t>
      </w:r>
      <w:r w:rsidR="00526B57">
        <w:rPr>
          <w:rFonts w:eastAsia="Times New Roman"/>
          <w:color w:val="000000"/>
        </w:rPr>
        <w:t xml:space="preserve"> </w:t>
      </w:r>
      <w:r w:rsidRPr="000502EF">
        <w:rPr>
          <w:rFonts w:eastAsia="Times New Roman"/>
          <w:color w:val="000000"/>
        </w:rPr>
        <w:t xml:space="preserve">AChE ve BChE enzimleri üzerindeki inhibisyon etkileri </w:t>
      </w:r>
      <w:r w:rsidRPr="003A7E06">
        <w:rPr>
          <w:rFonts w:eastAsia="Times New Roman"/>
          <w:i/>
          <w:color w:val="000000"/>
        </w:rPr>
        <w:t>in vitro</w:t>
      </w:r>
      <w:r w:rsidRPr="000502EF">
        <w:rPr>
          <w:rFonts w:eastAsia="Times New Roman"/>
          <w:color w:val="000000"/>
        </w:rPr>
        <w:t xml:space="preserve"> olarak incelenerek, IC</w:t>
      </w:r>
      <w:r w:rsidRPr="000502EF">
        <w:rPr>
          <w:rFonts w:eastAsia="Times New Roman"/>
          <w:color w:val="000000"/>
          <w:vertAlign w:val="subscript"/>
        </w:rPr>
        <w:t>50</w:t>
      </w:r>
      <w:r w:rsidRPr="000502EF">
        <w:rPr>
          <w:rFonts w:eastAsia="Times New Roman"/>
          <w:color w:val="000000"/>
        </w:rPr>
        <w:t xml:space="preserve"> ve k</w:t>
      </w:r>
      <w:r w:rsidRPr="003D3207">
        <w:rPr>
          <w:rFonts w:eastAsia="Times New Roman"/>
          <w:color w:val="000000"/>
          <w:vertAlign w:val="subscript"/>
        </w:rPr>
        <w:t>i</w:t>
      </w:r>
      <w:r w:rsidRPr="000502EF">
        <w:rPr>
          <w:rFonts w:eastAsia="Times New Roman"/>
          <w:color w:val="000000"/>
        </w:rPr>
        <w:t xml:space="preserve"> değerleri hesaplanmış ve inhibisyon türleri belirlenmiştir. Aynı zamanda bileşiklerin 7 farklı suş üzerindeki antibakteriyel aktiviteside belirlenmiştir. Pozitif kontrol olarak Ampisilin/Sulbaktam ve basitrasin kullanılmıştır. </w:t>
      </w:r>
    </w:p>
    <w:p w14:paraId="6B8A23F3" w14:textId="011783AC" w:rsidR="000502EF" w:rsidRPr="000502EF" w:rsidRDefault="000502EF" w:rsidP="0030587D">
      <w:pPr>
        <w:widowControl w:val="0"/>
        <w:spacing w:after="0" w:line="360" w:lineRule="auto"/>
        <w:ind w:firstLine="567"/>
        <w:jc w:val="both"/>
        <w:rPr>
          <w:rFonts w:eastAsia="Times New Roman"/>
          <w:color w:val="000000"/>
        </w:rPr>
      </w:pPr>
      <w:r w:rsidRPr="000502EF">
        <w:rPr>
          <w:rFonts w:eastAsia="Times New Roman"/>
          <w:color w:val="000000"/>
        </w:rPr>
        <w:t>(1-metil-4-hidroksi-4-fenil piperidin-3-il)(fenil)metanon bileşiği için IC</w:t>
      </w:r>
      <w:r w:rsidRPr="000502EF">
        <w:rPr>
          <w:rFonts w:eastAsia="Times New Roman"/>
          <w:color w:val="000000"/>
          <w:vertAlign w:val="subscript"/>
        </w:rPr>
        <w:t>50</w:t>
      </w:r>
      <w:r w:rsidRPr="000502EF">
        <w:rPr>
          <w:rFonts w:eastAsia="Times New Roman"/>
          <w:color w:val="000000"/>
        </w:rPr>
        <w:t xml:space="preserve"> değerleri  (AChE: 4.584 </w:t>
      </w:r>
      <w:r w:rsidRPr="000502EF">
        <w:rPr>
          <w:rFonts w:ascii="Symbol" w:eastAsia="Times New Roman" w:hAnsi="Symbol"/>
          <w:color w:val="000000"/>
        </w:rPr>
        <w:t></w:t>
      </w:r>
      <w:r w:rsidRPr="000502EF">
        <w:rPr>
          <w:rFonts w:eastAsia="Times New Roman"/>
          <w:color w:val="000000"/>
        </w:rPr>
        <w:t>M; BChE: 51.448</w:t>
      </w:r>
      <w:r w:rsidRPr="000502EF">
        <w:rPr>
          <w:rFonts w:ascii="Symbol" w:eastAsia="Times New Roman" w:hAnsi="Symbol"/>
          <w:color w:val="000000"/>
        </w:rPr>
        <w:t></w:t>
      </w:r>
      <w:r w:rsidRPr="000502EF">
        <w:rPr>
          <w:rFonts w:eastAsia="Times New Roman"/>
          <w:color w:val="000000"/>
        </w:rPr>
        <w:t>M) ve k</w:t>
      </w:r>
      <w:r w:rsidRPr="000502EF">
        <w:rPr>
          <w:rFonts w:eastAsia="Times New Roman"/>
          <w:color w:val="000000"/>
          <w:vertAlign w:val="subscript"/>
        </w:rPr>
        <w:t>i</w:t>
      </w:r>
      <w:r w:rsidRPr="000502EF">
        <w:rPr>
          <w:rFonts w:eastAsia="Times New Roman"/>
          <w:color w:val="000000"/>
        </w:rPr>
        <w:t xml:space="preserve"> değerleri (AChE: 0.00344±0.00071; BChE: 0.05406±0.01009) olarak; (1-etil-4-hidroksi-4-fenil piperidin-3-il)(</w:t>
      </w:r>
      <w:r w:rsidR="00743317">
        <w:rPr>
          <w:rFonts w:eastAsia="Times New Roman"/>
          <w:color w:val="000000"/>
        </w:rPr>
        <w:t xml:space="preserve">fenil)metanon bileşiği için </w:t>
      </w:r>
      <w:r w:rsidRPr="000502EF">
        <w:rPr>
          <w:rFonts w:eastAsia="Times New Roman"/>
          <w:color w:val="000000"/>
        </w:rPr>
        <w:t>IC</w:t>
      </w:r>
      <w:r w:rsidRPr="000502EF">
        <w:rPr>
          <w:rFonts w:eastAsia="Times New Roman"/>
          <w:color w:val="000000"/>
          <w:vertAlign w:val="subscript"/>
        </w:rPr>
        <w:t>50</w:t>
      </w:r>
      <w:r w:rsidRPr="000502EF">
        <w:rPr>
          <w:rFonts w:eastAsia="Times New Roman"/>
          <w:color w:val="000000"/>
        </w:rPr>
        <w:t xml:space="preserve"> değerleri  (AChE: 4,312 </w:t>
      </w:r>
      <w:r w:rsidRPr="000502EF">
        <w:rPr>
          <w:rFonts w:ascii="Symbol" w:eastAsia="Times New Roman" w:hAnsi="Symbol"/>
          <w:color w:val="000000"/>
        </w:rPr>
        <w:t></w:t>
      </w:r>
      <w:r w:rsidRPr="000502EF">
        <w:rPr>
          <w:rFonts w:eastAsia="Times New Roman"/>
          <w:color w:val="000000"/>
        </w:rPr>
        <w:t xml:space="preserve">M; BChE: 47.968 </w:t>
      </w:r>
      <w:r w:rsidRPr="000502EF">
        <w:rPr>
          <w:rFonts w:ascii="Symbol" w:eastAsia="Times New Roman" w:hAnsi="Symbol"/>
          <w:color w:val="000000"/>
        </w:rPr>
        <w:t></w:t>
      </w:r>
      <w:r w:rsidRPr="000502EF">
        <w:rPr>
          <w:rFonts w:eastAsia="Times New Roman"/>
          <w:color w:val="000000"/>
        </w:rPr>
        <w:t>M) ve k</w:t>
      </w:r>
      <w:r w:rsidRPr="000502EF">
        <w:rPr>
          <w:rFonts w:eastAsia="Times New Roman"/>
          <w:color w:val="000000"/>
          <w:vertAlign w:val="subscript"/>
        </w:rPr>
        <w:t xml:space="preserve">i </w:t>
      </w:r>
      <w:r w:rsidR="00743317">
        <w:rPr>
          <w:rFonts w:eastAsia="Times New Roman"/>
          <w:color w:val="000000"/>
        </w:rPr>
        <w:t xml:space="preserve">değerleri </w:t>
      </w:r>
      <w:r w:rsidR="007647EE">
        <w:rPr>
          <w:rFonts w:eastAsia="Times New Roman"/>
          <w:color w:val="000000"/>
        </w:rPr>
        <w:t xml:space="preserve">(AChE: 0.003047±0.00060; </w:t>
      </w:r>
      <w:r w:rsidRPr="000502EF">
        <w:rPr>
          <w:rFonts w:eastAsia="Times New Roman"/>
          <w:color w:val="000000"/>
        </w:rPr>
        <w:t>BChE: 0.04404±0.05109) olarak hesaplanmıştır. Maddelerin inhibisyon türleri yarışmasız</w:t>
      </w:r>
      <w:r w:rsidR="00743317">
        <w:rPr>
          <w:rFonts w:eastAsia="Times New Roman"/>
          <w:color w:val="000000"/>
        </w:rPr>
        <w:t xml:space="preserve"> olarak belirlenmiştir. P</w:t>
      </w:r>
      <w:r w:rsidRPr="000502EF">
        <w:rPr>
          <w:rFonts w:eastAsia="Times New Roman"/>
          <w:color w:val="000000"/>
        </w:rPr>
        <w:t>iperidin türevi iki bileşiğinde AChE enzimi üzerindeki inhibisyon etkilerinin çok daha yüksek olduğu, BChE enzimini ise daha düşük düzeyde inhibe ettikleri belirlenmiştir.</w:t>
      </w:r>
      <w:r w:rsidRPr="000502EF">
        <w:rPr>
          <w:rFonts w:ascii="Calibri" w:eastAsia="Calibri" w:hAnsi="Calibri"/>
          <w:color w:val="auto"/>
          <w:sz w:val="22"/>
          <w:szCs w:val="22"/>
          <w:lang w:val="en-US" w:eastAsia="en-US"/>
        </w:rPr>
        <w:t xml:space="preserve"> </w:t>
      </w:r>
      <w:r w:rsidRPr="000502EF">
        <w:rPr>
          <w:rFonts w:eastAsia="Times New Roman"/>
          <w:color w:val="000000"/>
        </w:rPr>
        <w:t>BChE; AChE eksikliğinde ve yokluğunda kolinerjik iletimde koregülatör olarak görev yaptığından dolayı bu tip ikili inhibitörlerin, AChE seçici ajanlardan daha uzun süreli etkinlik sağlayabileceği ve dolayısıyla Alzheimer hastalığı açısından önemli olduğu düşünülmektedir.</w:t>
      </w:r>
      <w:r w:rsidRPr="000502EF">
        <w:rPr>
          <w:rFonts w:ascii="Calibri" w:eastAsia="Calibri" w:hAnsi="Calibri"/>
          <w:color w:val="auto"/>
          <w:sz w:val="22"/>
          <w:szCs w:val="22"/>
          <w:lang w:val="en-US" w:eastAsia="en-US"/>
        </w:rPr>
        <w:t xml:space="preserve"> </w:t>
      </w:r>
      <w:r w:rsidRPr="000502EF">
        <w:rPr>
          <w:rFonts w:eastAsia="Times New Roman"/>
          <w:color w:val="000000"/>
        </w:rPr>
        <w:t xml:space="preserve">Aynı zamanda bu bileşiklerin çalışılan suşların çoğu üzerinde </w:t>
      </w:r>
      <w:r w:rsidRPr="000502EF">
        <w:rPr>
          <w:rFonts w:eastAsia="Times New Roman"/>
          <w:color w:val="auto"/>
          <w:lang w:val="en-US" w:eastAsia="en-US"/>
        </w:rPr>
        <w:t xml:space="preserve">antibiyotiklerden daha yüksek zon çapı oluşturmaları ve </w:t>
      </w:r>
      <w:r w:rsidRPr="000502EF">
        <w:rPr>
          <w:rFonts w:eastAsia="Times New Roman"/>
          <w:color w:val="000000"/>
        </w:rPr>
        <w:t xml:space="preserve">güçlü antibakteriyel aktiviteye sahip olmaları dolayısıylada elde edilen tüm sonuçların farmakoloji alanında etken maddelerin tespitinde ve yapılacak yeni çalışmalar için yol gösterici olabileceği düşünülmektedir. </w:t>
      </w:r>
    </w:p>
    <w:p w14:paraId="6A667081" w14:textId="197D58AC" w:rsidR="00E40B93" w:rsidRPr="00664EDE" w:rsidRDefault="00E40B93" w:rsidP="002F23DB">
      <w:pPr>
        <w:tabs>
          <w:tab w:val="left" w:pos="567"/>
        </w:tabs>
        <w:spacing w:after="0" w:line="360" w:lineRule="auto"/>
        <w:jc w:val="both"/>
      </w:pPr>
    </w:p>
    <w:p w14:paraId="3F3FFCB9" w14:textId="77777777" w:rsidR="000502EF" w:rsidRPr="000502EF" w:rsidRDefault="00E81334" w:rsidP="0030587D">
      <w:pPr>
        <w:spacing w:after="0" w:line="360" w:lineRule="auto"/>
        <w:jc w:val="both"/>
        <w:rPr>
          <w:rFonts w:eastAsia="Times New Roman"/>
          <w:color w:val="auto"/>
          <w:lang w:val="en-US" w:eastAsia="en-US"/>
        </w:rPr>
      </w:pPr>
      <w:r w:rsidRPr="00664EDE">
        <w:rPr>
          <w:b/>
        </w:rPr>
        <w:t>Anahtar Kelime</w:t>
      </w:r>
      <w:r w:rsidR="00763571" w:rsidRPr="00664EDE">
        <w:rPr>
          <w:b/>
        </w:rPr>
        <w:t>ler</w:t>
      </w:r>
      <w:r w:rsidRPr="00664EDE">
        <w:rPr>
          <w:b/>
        </w:rPr>
        <w:t>:</w:t>
      </w:r>
      <w:r w:rsidRPr="00664EDE">
        <w:t xml:space="preserve"> </w:t>
      </w:r>
      <w:r w:rsidR="000502EF" w:rsidRPr="000502EF">
        <w:rPr>
          <w:rFonts w:eastAsia="Calibri"/>
          <w:color w:val="auto"/>
          <w:spacing w:val="12"/>
          <w:kern w:val="16"/>
          <w:lang w:val="en-US" w:eastAsia="en-US"/>
        </w:rPr>
        <w:t>Alzheimer, Antibakteriyel, İnhibitör, Kolinesteraz, Piperidin</w:t>
      </w:r>
    </w:p>
    <w:p w14:paraId="76F6FDA5" w14:textId="54FB1420" w:rsidR="002B7135" w:rsidRPr="00664EDE" w:rsidRDefault="002B7135" w:rsidP="00A15503">
      <w:pPr>
        <w:spacing w:line="360" w:lineRule="auto"/>
        <w:ind w:left="2268" w:hanging="2268"/>
        <w:jc w:val="both"/>
        <w:rPr>
          <w:color w:val="000000"/>
        </w:rPr>
      </w:pPr>
    </w:p>
    <w:p w14:paraId="6CF75B28" w14:textId="77777777" w:rsidR="00C45B9F" w:rsidRDefault="00C45B9F" w:rsidP="00C45B9F">
      <w:pPr>
        <w:jc w:val="center"/>
        <w:rPr>
          <w:color w:val="000000"/>
        </w:rPr>
      </w:pPr>
      <w:bookmarkStart w:id="1" w:name="_Toc11358667"/>
      <w:bookmarkStart w:id="2" w:name="_Toc12097174"/>
      <w:bookmarkStart w:id="3" w:name="_Toc12097630"/>
      <w:bookmarkStart w:id="4" w:name="_Toc12097914"/>
      <w:bookmarkStart w:id="5" w:name="_Toc12864109"/>
      <w:bookmarkStart w:id="6" w:name="_Toc12954893"/>
      <w:bookmarkStart w:id="7" w:name="_Toc12956490"/>
      <w:bookmarkStart w:id="8" w:name="_Toc12956573"/>
      <w:bookmarkStart w:id="9" w:name="_Toc64567821"/>
    </w:p>
    <w:p w14:paraId="68710112" w14:textId="77777777" w:rsidR="00C45B9F" w:rsidRDefault="00C45B9F" w:rsidP="00C45B9F">
      <w:pPr>
        <w:jc w:val="center"/>
        <w:rPr>
          <w:color w:val="000000"/>
        </w:rPr>
      </w:pPr>
    </w:p>
    <w:p w14:paraId="13F92120" w14:textId="584F1577" w:rsidR="004E38D5" w:rsidRPr="0064350A" w:rsidRDefault="004E38D5" w:rsidP="00C45B9F">
      <w:pPr>
        <w:jc w:val="center"/>
        <w:rPr>
          <w:b/>
        </w:rPr>
      </w:pPr>
      <w:r w:rsidRPr="0064350A">
        <w:rPr>
          <w:b/>
        </w:rPr>
        <w:lastRenderedPageBreak/>
        <w:t>ABSTRACT</w:t>
      </w:r>
      <w:bookmarkEnd w:id="1"/>
      <w:bookmarkEnd w:id="2"/>
      <w:bookmarkEnd w:id="3"/>
      <w:bookmarkEnd w:id="4"/>
      <w:bookmarkEnd w:id="5"/>
      <w:bookmarkEnd w:id="6"/>
      <w:bookmarkEnd w:id="7"/>
      <w:bookmarkEnd w:id="8"/>
      <w:bookmarkEnd w:id="9"/>
    </w:p>
    <w:p w14:paraId="577878CE" w14:textId="77777777" w:rsidR="007442DB" w:rsidRPr="0064350A" w:rsidRDefault="00616146" w:rsidP="00A95D86">
      <w:pPr>
        <w:tabs>
          <w:tab w:val="left" w:pos="3045"/>
        </w:tabs>
        <w:spacing w:before="240" w:after="0" w:line="360" w:lineRule="auto"/>
        <w:jc w:val="center"/>
        <w:rPr>
          <w:b/>
        </w:rPr>
      </w:pPr>
      <w:r w:rsidRPr="0064350A">
        <w:rPr>
          <w:b/>
        </w:rPr>
        <w:t>MS THESIS</w:t>
      </w:r>
    </w:p>
    <w:p w14:paraId="43BF48CF" w14:textId="77777777" w:rsidR="00803AAA" w:rsidRPr="0064350A" w:rsidRDefault="00803AAA" w:rsidP="00803AAA">
      <w:pPr>
        <w:spacing w:line="240" w:lineRule="auto"/>
        <w:rPr>
          <w:b/>
        </w:rPr>
      </w:pPr>
    </w:p>
    <w:p w14:paraId="1C58FC1A" w14:textId="77777777" w:rsidR="00955E3E" w:rsidRPr="0064350A" w:rsidRDefault="00955E3E" w:rsidP="00803AAA">
      <w:pPr>
        <w:spacing w:line="240" w:lineRule="auto"/>
        <w:rPr>
          <w:b/>
        </w:rPr>
      </w:pPr>
    </w:p>
    <w:p w14:paraId="3448FFAF" w14:textId="22498A81" w:rsidR="000502EF" w:rsidRPr="0064350A" w:rsidRDefault="000502EF" w:rsidP="000502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eastAsia="Times New Roman"/>
          <w:b/>
          <w:color w:val="auto"/>
          <w:lang w:val="en-US" w:eastAsia="en-US"/>
        </w:rPr>
      </w:pPr>
      <w:r w:rsidRPr="0064350A">
        <w:rPr>
          <w:rFonts w:eastAsia="Times New Roman"/>
          <w:b/>
          <w:color w:val="auto"/>
          <w:lang w:val="en"/>
        </w:rPr>
        <w:t xml:space="preserve">INVESTIGATION </w:t>
      </w:r>
      <w:r w:rsidR="002B6DD4" w:rsidRPr="0064350A">
        <w:rPr>
          <w:rFonts w:eastAsia="Times New Roman"/>
          <w:b/>
          <w:color w:val="auto"/>
          <w:lang w:val="en"/>
        </w:rPr>
        <w:t>of</w:t>
      </w:r>
      <w:r w:rsidRPr="0064350A">
        <w:rPr>
          <w:rFonts w:eastAsia="Times New Roman"/>
          <w:b/>
          <w:color w:val="auto"/>
          <w:lang w:val="en"/>
        </w:rPr>
        <w:t xml:space="preserve"> INHIBITION EFFECTS </w:t>
      </w:r>
      <w:r w:rsidR="002B6DD4" w:rsidRPr="0064350A">
        <w:rPr>
          <w:rFonts w:eastAsia="Times New Roman"/>
          <w:b/>
          <w:color w:val="auto"/>
          <w:lang w:val="en"/>
        </w:rPr>
        <w:t>on</w:t>
      </w:r>
      <w:r w:rsidRPr="0064350A">
        <w:rPr>
          <w:rFonts w:eastAsia="Times New Roman"/>
          <w:b/>
          <w:color w:val="auto"/>
          <w:lang w:val="en"/>
        </w:rPr>
        <w:t xml:space="preserve"> ACETYLCHOLINESTERASE, BUTYRYLCHOLINESTERASE ENZYMES </w:t>
      </w:r>
      <w:r w:rsidR="002B6F0C" w:rsidRPr="0064350A">
        <w:rPr>
          <w:rFonts w:eastAsia="Times New Roman"/>
          <w:b/>
          <w:color w:val="auto"/>
          <w:lang w:val="en"/>
        </w:rPr>
        <w:t>and</w:t>
      </w:r>
      <w:r w:rsidRPr="0064350A">
        <w:rPr>
          <w:rFonts w:eastAsia="Times New Roman"/>
          <w:b/>
          <w:color w:val="auto"/>
          <w:lang w:val="en"/>
        </w:rPr>
        <w:t xml:space="preserve"> ANTIBACTERIAL ACTIVITIES </w:t>
      </w:r>
      <w:r w:rsidR="002B6DD4" w:rsidRPr="0064350A">
        <w:rPr>
          <w:rFonts w:eastAsia="Times New Roman"/>
          <w:b/>
          <w:color w:val="auto"/>
          <w:lang w:val="en"/>
        </w:rPr>
        <w:t>of</w:t>
      </w:r>
      <w:r w:rsidRPr="0064350A">
        <w:rPr>
          <w:rFonts w:eastAsia="Times New Roman"/>
          <w:b/>
          <w:color w:val="auto"/>
          <w:lang w:val="en"/>
        </w:rPr>
        <w:t xml:space="preserve">  PIPERIDINE DERIVED COMPOUNDS</w:t>
      </w:r>
    </w:p>
    <w:p w14:paraId="603B11B0" w14:textId="77777777" w:rsidR="007551FF" w:rsidRPr="00664EDE" w:rsidRDefault="007551FF" w:rsidP="00955E3E">
      <w:pPr>
        <w:tabs>
          <w:tab w:val="left" w:pos="3630"/>
        </w:tabs>
        <w:spacing w:after="0" w:line="360" w:lineRule="auto"/>
        <w:jc w:val="center"/>
      </w:pPr>
    </w:p>
    <w:p w14:paraId="55227131" w14:textId="77777777" w:rsidR="007B6276" w:rsidRPr="00664EDE" w:rsidRDefault="007B6276" w:rsidP="00955E3E">
      <w:pPr>
        <w:tabs>
          <w:tab w:val="left" w:pos="3630"/>
        </w:tabs>
        <w:spacing w:after="120" w:line="360" w:lineRule="auto"/>
        <w:jc w:val="center"/>
      </w:pPr>
    </w:p>
    <w:p w14:paraId="255D3FFE" w14:textId="52A3D70A" w:rsidR="007442DB" w:rsidRPr="00664EDE" w:rsidRDefault="000502EF" w:rsidP="00760957">
      <w:pPr>
        <w:tabs>
          <w:tab w:val="left" w:pos="3630"/>
        </w:tabs>
        <w:spacing w:line="360" w:lineRule="auto"/>
        <w:jc w:val="center"/>
      </w:pPr>
      <w:r>
        <w:t>Levent ÇOŞKUN</w:t>
      </w:r>
    </w:p>
    <w:p w14:paraId="056CA8ED" w14:textId="77777777" w:rsidR="007442DB" w:rsidRPr="00664EDE" w:rsidRDefault="007442DB" w:rsidP="00760957">
      <w:pPr>
        <w:tabs>
          <w:tab w:val="left" w:pos="3630"/>
        </w:tabs>
        <w:spacing w:line="240" w:lineRule="auto"/>
      </w:pPr>
    </w:p>
    <w:p w14:paraId="349941AC" w14:textId="77777777" w:rsidR="007442DB" w:rsidRPr="00664EDE" w:rsidRDefault="007442DB" w:rsidP="00955E3E">
      <w:pPr>
        <w:tabs>
          <w:tab w:val="left" w:pos="3630"/>
        </w:tabs>
        <w:spacing w:after="0" w:line="360" w:lineRule="auto"/>
        <w:jc w:val="center"/>
      </w:pPr>
      <w:r w:rsidRPr="00664EDE">
        <w:t>Gümüşhane University</w:t>
      </w:r>
    </w:p>
    <w:p w14:paraId="76793873" w14:textId="4FB7399A" w:rsidR="007442DB" w:rsidRPr="00664EDE" w:rsidRDefault="0064350A" w:rsidP="00955E3E">
      <w:pPr>
        <w:tabs>
          <w:tab w:val="left" w:pos="3630"/>
        </w:tabs>
        <w:spacing w:after="0" w:line="360" w:lineRule="auto"/>
        <w:jc w:val="center"/>
      </w:pPr>
      <w:r>
        <w:t>The Graduate School of Natural and Applied Sciences</w:t>
      </w:r>
    </w:p>
    <w:p w14:paraId="2377933C" w14:textId="47995367" w:rsidR="007442DB" w:rsidRPr="00664EDE" w:rsidRDefault="00C95EEF" w:rsidP="00955E3E">
      <w:pPr>
        <w:tabs>
          <w:tab w:val="left" w:pos="3630"/>
        </w:tabs>
        <w:spacing w:after="0" w:line="360" w:lineRule="auto"/>
        <w:jc w:val="center"/>
      </w:pPr>
      <w:r>
        <w:t xml:space="preserve">Department of </w:t>
      </w:r>
      <w:r w:rsidR="000502EF" w:rsidRPr="00F651D0">
        <w:rPr>
          <w:lang w:val="en"/>
        </w:rPr>
        <w:t>Biotechnology</w:t>
      </w:r>
    </w:p>
    <w:p w14:paraId="3D581739" w14:textId="77777777" w:rsidR="007442DB" w:rsidRPr="00664EDE" w:rsidRDefault="007442DB" w:rsidP="00955E3E">
      <w:pPr>
        <w:tabs>
          <w:tab w:val="left" w:pos="3630"/>
        </w:tabs>
        <w:spacing w:after="0" w:line="360" w:lineRule="auto"/>
        <w:jc w:val="center"/>
      </w:pPr>
    </w:p>
    <w:p w14:paraId="777FC8E9" w14:textId="77777777" w:rsidR="00955E3E" w:rsidRPr="00664EDE" w:rsidRDefault="00955E3E" w:rsidP="00955E3E">
      <w:pPr>
        <w:tabs>
          <w:tab w:val="left" w:pos="3630"/>
        </w:tabs>
        <w:spacing w:after="0" w:line="360" w:lineRule="auto"/>
        <w:jc w:val="center"/>
      </w:pPr>
    </w:p>
    <w:p w14:paraId="7C4B7F5D" w14:textId="77777777" w:rsidR="007551FF" w:rsidRPr="00664EDE" w:rsidRDefault="007551FF" w:rsidP="00955E3E">
      <w:pPr>
        <w:tabs>
          <w:tab w:val="left" w:pos="3045"/>
        </w:tabs>
        <w:spacing w:after="0" w:line="360" w:lineRule="auto"/>
        <w:jc w:val="center"/>
      </w:pPr>
    </w:p>
    <w:p w14:paraId="77620233" w14:textId="6775D0E2" w:rsidR="00345652" w:rsidRPr="00664EDE" w:rsidRDefault="007442DB" w:rsidP="00760957">
      <w:pPr>
        <w:tabs>
          <w:tab w:val="left" w:pos="3045"/>
        </w:tabs>
        <w:spacing w:line="360" w:lineRule="auto"/>
        <w:jc w:val="center"/>
      </w:pPr>
      <w:r w:rsidRPr="00664EDE">
        <w:t xml:space="preserve">Supervisor: </w:t>
      </w:r>
      <w:r w:rsidR="003B47DC" w:rsidRPr="00664EDE">
        <w:t>Assoc.</w:t>
      </w:r>
      <w:r w:rsidR="00C95EEF">
        <w:t xml:space="preserve"> </w:t>
      </w:r>
      <w:r w:rsidR="003B47DC" w:rsidRPr="00664EDE">
        <w:t xml:space="preserve">Prof. </w:t>
      </w:r>
      <w:r w:rsidR="000502EF">
        <w:rPr>
          <w:spacing w:val="-1"/>
        </w:rPr>
        <w:t>Sevim Beyza ÖZTÜRK SARIKAYA</w:t>
      </w:r>
    </w:p>
    <w:p w14:paraId="05FB62A1" w14:textId="6C7B3FB6" w:rsidR="00345652" w:rsidRPr="00664EDE" w:rsidRDefault="001625C7" w:rsidP="00760957">
      <w:pPr>
        <w:tabs>
          <w:tab w:val="left" w:pos="1134"/>
        </w:tabs>
        <w:spacing w:line="360" w:lineRule="auto"/>
        <w:jc w:val="center"/>
      </w:pPr>
      <w:r w:rsidRPr="00A155B5">
        <w:t>20</w:t>
      </w:r>
      <w:r w:rsidR="000502EF" w:rsidRPr="00A155B5">
        <w:t>21</w:t>
      </w:r>
      <w:r w:rsidR="008A1745">
        <w:t xml:space="preserve">, </w:t>
      </w:r>
      <w:r w:rsidR="002F3D14">
        <w:t>5</w:t>
      </w:r>
      <w:r w:rsidR="00113F90">
        <w:t>2</w:t>
      </w:r>
      <w:r w:rsidR="000502EF" w:rsidRPr="00A155B5">
        <w:t xml:space="preserve"> </w:t>
      </w:r>
      <w:r w:rsidR="0064350A">
        <w:t>p</w:t>
      </w:r>
      <w:r w:rsidRPr="00A155B5">
        <w:t>ages</w:t>
      </w:r>
    </w:p>
    <w:p w14:paraId="180376F5" w14:textId="77777777" w:rsidR="009B47F0" w:rsidRPr="00664EDE" w:rsidRDefault="009B47F0" w:rsidP="001B3FD0">
      <w:pPr>
        <w:tabs>
          <w:tab w:val="left" w:pos="3630"/>
        </w:tabs>
        <w:spacing w:after="0" w:line="240" w:lineRule="auto"/>
        <w:rPr>
          <w:b/>
        </w:rPr>
      </w:pPr>
    </w:p>
    <w:p w14:paraId="273AA485" w14:textId="77777777" w:rsidR="000502EF" w:rsidRDefault="00763571" w:rsidP="0030587D">
      <w:pPr>
        <w:pStyle w:val="HTMLncedenBiimlendirilmi"/>
        <w:spacing w:line="360" w:lineRule="auto"/>
        <w:ind w:firstLine="567"/>
        <w:jc w:val="both"/>
      </w:pPr>
      <w:r w:rsidRPr="00664EDE">
        <w:tab/>
      </w:r>
      <w:r w:rsidR="000502EF" w:rsidRPr="00C64EA6">
        <w:rPr>
          <w:rFonts w:ascii="Times New Roman" w:hAnsi="Times New Roman" w:cs="Times New Roman"/>
          <w:color w:val="212121"/>
          <w:sz w:val="24"/>
          <w:szCs w:val="24"/>
        </w:rPr>
        <w:t>Alzheimer's is a very common dementia disease recently and there is no cure.</w:t>
      </w:r>
      <w:r w:rsidR="000502EF" w:rsidRPr="007B430E">
        <w:t xml:space="preserve"> </w:t>
      </w:r>
      <w:r w:rsidR="000502EF" w:rsidRPr="007B430E">
        <w:rPr>
          <w:rFonts w:ascii="Times New Roman" w:hAnsi="Times New Roman" w:cs="Times New Roman"/>
          <w:color w:val="212121"/>
          <w:sz w:val="24"/>
          <w:szCs w:val="24"/>
        </w:rPr>
        <w:t>Acetylcholine is the neurotransmitter that decreases most in this disease, which causes a decrease in neurotransmitters in the brain</w:t>
      </w:r>
      <w:r w:rsidR="000502EF">
        <w:rPr>
          <w:rFonts w:ascii="Times New Roman" w:hAnsi="Times New Roman" w:cs="Times New Roman"/>
          <w:color w:val="212121"/>
          <w:sz w:val="24"/>
          <w:szCs w:val="24"/>
        </w:rPr>
        <w:t>.</w:t>
      </w:r>
      <w:r w:rsidR="000502EF" w:rsidRPr="007B430E">
        <w:t xml:space="preserve"> </w:t>
      </w:r>
      <w:r w:rsidR="000502EF" w:rsidRPr="007B430E">
        <w:rPr>
          <w:rFonts w:ascii="Times New Roman" w:hAnsi="Times New Roman" w:cs="Times New Roman"/>
          <w:color w:val="212121"/>
          <w:sz w:val="24"/>
          <w:szCs w:val="24"/>
        </w:rPr>
        <w:t>The degradation of acetylcholine must be reduced in order to treat or prevent the disease, but this is only possible with the inhibition of astilcholinesterase (AChE), which degrades acetylcholine.</w:t>
      </w:r>
      <w:r w:rsidR="000502EF" w:rsidRPr="007B430E">
        <w:t xml:space="preserve"> </w:t>
      </w:r>
      <w:r w:rsidR="000502EF" w:rsidRPr="007B430E">
        <w:rPr>
          <w:rFonts w:ascii="Times New Roman" w:hAnsi="Times New Roman" w:cs="Times New Roman"/>
          <w:color w:val="212121"/>
          <w:sz w:val="24"/>
          <w:szCs w:val="24"/>
        </w:rPr>
        <w:t>Although the pharmacological role of butyrylcholinesterase (BChE) has not been determined with scientific research yet, it has been reported that the enzyme may have a balancing role during degenerative changes and acetylcholine hydrolysis in the brain.</w:t>
      </w:r>
      <w:r w:rsidR="000502EF" w:rsidRPr="007B430E">
        <w:t xml:space="preserve"> </w:t>
      </w:r>
      <w:r w:rsidR="000502EF" w:rsidRPr="007B430E">
        <w:rPr>
          <w:rFonts w:ascii="Times New Roman" w:hAnsi="Times New Roman" w:cs="Times New Roman"/>
          <w:color w:val="212121"/>
          <w:sz w:val="24"/>
          <w:szCs w:val="24"/>
        </w:rPr>
        <w:t>Cholinesterase inhibitors such as Tacrine and Rivastigmine are currently used for treatment and they have many known side effects.</w:t>
      </w:r>
      <w:r w:rsidR="000502EF" w:rsidRPr="007B430E">
        <w:t xml:space="preserve"> </w:t>
      </w:r>
      <w:r w:rsidR="000502EF" w:rsidRPr="007B430E">
        <w:rPr>
          <w:rFonts w:ascii="Times New Roman" w:hAnsi="Times New Roman" w:cs="Times New Roman"/>
          <w:color w:val="212121"/>
          <w:sz w:val="24"/>
          <w:szCs w:val="24"/>
        </w:rPr>
        <w:t>Donepezil, which is in the structure of piperidine and used as a drug in the treatment of Alzheimer's, is more selective than other drugs, with less side effects.</w:t>
      </w:r>
      <w:r w:rsidR="000502EF" w:rsidRPr="007B430E">
        <w:t xml:space="preserve"> </w:t>
      </w:r>
      <w:r w:rsidR="000502EF" w:rsidRPr="007B430E">
        <w:rPr>
          <w:rFonts w:ascii="Times New Roman" w:hAnsi="Times New Roman" w:cs="Times New Roman"/>
          <w:color w:val="212121"/>
          <w:sz w:val="24"/>
          <w:szCs w:val="24"/>
        </w:rPr>
        <w:t xml:space="preserve">its high specificity for </w:t>
      </w:r>
      <w:r w:rsidR="000502EF" w:rsidRPr="007B430E">
        <w:rPr>
          <w:rFonts w:ascii="Times New Roman" w:hAnsi="Times New Roman" w:cs="Times New Roman"/>
          <w:color w:val="212121"/>
          <w:sz w:val="24"/>
          <w:szCs w:val="24"/>
        </w:rPr>
        <w:lastRenderedPageBreak/>
        <w:t>acetylcholinesterases in the central nervous system is an important advantage of the drug.</w:t>
      </w:r>
      <w:r w:rsidR="000502EF" w:rsidRPr="007B430E">
        <w:t xml:space="preserve"> </w:t>
      </w:r>
      <w:r w:rsidR="000502EF" w:rsidRPr="007B430E">
        <w:rPr>
          <w:rFonts w:ascii="Times New Roman" w:hAnsi="Times New Roman" w:cs="Times New Roman"/>
          <w:color w:val="212121"/>
          <w:sz w:val="24"/>
          <w:szCs w:val="24"/>
        </w:rPr>
        <w:t>Many piperidine derivatives such as donepezil constitute the basic structure of pharmacologically active compounds and important drugs.</w:t>
      </w:r>
      <w:r w:rsidR="000502EF" w:rsidRPr="008D7AE4">
        <w:t xml:space="preserve"> </w:t>
      </w:r>
    </w:p>
    <w:p w14:paraId="0FC65989" w14:textId="1F05AAC2" w:rsidR="000502EF" w:rsidRDefault="000502EF" w:rsidP="0030587D">
      <w:pPr>
        <w:pStyle w:val="HTMLncedenBiimlendirilmi"/>
        <w:spacing w:line="360" w:lineRule="auto"/>
        <w:ind w:firstLine="567"/>
        <w:jc w:val="both"/>
      </w:pPr>
      <w:r w:rsidRPr="008D7AE4">
        <w:rPr>
          <w:rFonts w:ascii="Times New Roman" w:hAnsi="Times New Roman" w:cs="Times New Roman"/>
          <w:color w:val="212121"/>
          <w:sz w:val="24"/>
          <w:szCs w:val="24"/>
        </w:rPr>
        <w:t xml:space="preserve">In our study, the inhibition effects of piperidine derivative </w:t>
      </w:r>
      <w:r>
        <w:rPr>
          <w:rFonts w:ascii="Times New Roman" w:hAnsi="Times New Roman" w:cs="Times New Roman"/>
          <w:color w:val="212121"/>
          <w:sz w:val="24"/>
          <w:szCs w:val="24"/>
        </w:rPr>
        <w:t>(1-methyl-4-hydroxy-</w:t>
      </w:r>
      <w:r w:rsidR="00743317">
        <w:rPr>
          <w:rFonts w:ascii="Times New Roman" w:hAnsi="Times New Roman" w:cs="Times New Roman"/>
          <w:color w:val="212121"/>
          <w:sz w:val="24"/>
          <w:szCs w:val="24"/>
        </w:rPr>
        <w:t xml:space="preserve">4-phenylpiperidin-3yl)methanone, </w:t>
      </w:r>
      <w:r w:rsidRPr="00B84066">
        <w:rPr>
          <w:rFonts w:ascii="Times New Roman" w:hAnsi="Times New Roman" w:cs="Times New Roman"/>
          <w:color w:val="212121"/>
          <w:sz w:val="24"/>
          <w:szCs w:val="24"/>
        </w:rPr>
        <w:t>(1-ethyl-4-hydroxy-4-phenylpiperidin-3yl)methanone</w:t>
      </w:r>
      <w:r w:rsidRPr="008D7AE4">
        <w:rPr>
          <w:rFonts w:ascii="Times New Roman" w:hAnsi="Times New Roman" w:cs="Times New Roman"/>
          <w:color w:val="212121"/>
          <w:sz w:val="24"/>
          <w:szCs w:val="24"/>
        </w:rPr>
        <w:t xml:space="preserve"> compounds</w:t>
      </w:r>
      <w:r w:rsidR="00526B57">
        <w:rPr>
          <w:rFonts w:ascii="Times New Roman" w:hAnsi="Times New Roman" w:cs="Times New Roman"/>
          <w:color w:val="212121"/>
          <w:sz w:val="24"/>
          <w:szCs w:val="24"/>
        </w:rPr>
        <w:t xml:space="preserve"> </w:t>
      </w:r>
      <w:r w:rsidRPr="008D7AE4">
        <w:rPr>
          <w:rFonts w:ascii="Times New Roman" w:hAnsi="Times New Roman" w:cs="Times New Roman"/>
          <w:color w:val="212121"/>
          <w:sz w:val="24"/>
          <w:szCs w:val="24"/>
        </w:rPr>
        <w:t xml:space="preserve">on AChE and BChE enzymes were examined </w:t>
      </w:r>
      <w:r w:rsidRPr="003A7E06">
        <w:rPr>
          <w:rFonts w:ascii="Times New Roman" w:hAnsi="Times New Roman" w:cs="Times New Roman"/>
          <w:i/>
          <w:color w:val="212121"/>
          <w:sz w:val="24"/>
          <w:szCs w:val="24"/>
        </w:rPr>
        <w:t>in vitro</w:t>
      </w:r>
      <w:r w:rsidRPr="008D7AE4">
        <w:rPr>
          <w:rFonts w:ascii="Times New Roman" w:hAnsi="Times New Roman" w:cs="Times New Roman"/>
          <w:color w:val="212121"/>
          <w:sz w:val="24"/>
          <w:szCs w:val="24"/>
        </w:rPr>
        <w:t>, IC</w:t>
      </w:r>
      <w:r w:rsidRPr="00B84066">
        <w:rPr>
          <w:rFonts w:ascii="Times New Roman" w:hAnsi="Times New Roman" w:cs="Times New Roman"/>
          <w:color w:val="212121"/>
          <w:sz w:val="24"/>
          <w:szCs w:val="24"/>
          <w:vertAlign w:val="subscript"/>
        </w:rPr>
        <w:t>50</w:t>
      </w:r>
      <w:r>
        <w:rPr>
          <w:rFonts w:ascii="Times New Roman" w:hAnsi="Times New Roman" w:cs="Times New Roman"/>
          <w:color w:val="212121"/>
          <w:sz w:val="24"/>
          <w:szCs w:val="24"/>
        </w:rPr>
        <w:t xml:space="preserve"> and k</w:t>
      </w:r>
      <w:r w:rsidRPr="00B84066">
        <w:rPr>
          <w:rFonts w:ascii="Times New Roman" w:hAnsi="Times New Roman" w:cs="Times New Roman"/>
          <w:color w:val="212121"/>
          <w:sz w:val="24"/>
          <w:szCs w:val="24"/>
          <w:vertAlign w:val="subscript"/>
        </w:rPr>
        <w:t>i</w:t>
      </w:r>
      <w:r w:rsidRPr="008D7AE4">
        <w:rPr>
          <w:rFonts w:ascii="Times New Roman" w:hAnsi="Times New Roman" w:cs="Times New Roman"/>
          <w:color w:val="212121"/>
          <w:sz w:val="24"/>
          <w:szCs w:val="24"/>
        </w:rPr>
        <w:t xml:space="preserve"> values were calculated and inhibition types were determined.</w:t>
      </w:r>
      <w:r w:rsidRPr="00B84066">
        <w:t xml:space="preserve"> </w:t>
      </w:r>
      <w:r w:rsidRPr="00B84066">
        <w:rPr>
          <w:rFonts w:ascii="Times New Roman" w:hAnsi="Times New Roman" w:cs="Times New Roman"/>
          <w:color w:val="212121"/>
          <w:sz w:val="24"/>
          <w:szCs w:val="24"/>
        </w:rPr>
        <w:t>At the same time, the antibacterial activity of the compounds on 7 different strains was determined.</w:t>
      </w:r>
      <w:r w:rsidRPr="00B84066">
        <w:t xml:space="preserve"> </w:t>
      </w:r>
      <w:r w:rsidRPr="00B84066">
        <w:rPr>
          <w:rFonts w:ascii="Times New Roman" w:hAnsi="Times New Roman" w:cs="Times New Roman"/>
          <w:color w:val="212121"/>
          <w:sz w:val="24"/>
          <w:szCs w:val="24"/>
        </w:rPr>
        <w:t>Ampicillin / Sulbactam and bacitracin were used as positive controls.</w:t>
      </w:r>
      <w:r w:rsidRPr="001E11B9">
        <w:t xml:space="preserve"> </w:t>
      </w:r>
    </w:p>
    <w:p w14:paraId="4765A0BB" w14:textId="0E5F6370" w:rsidR="000502EF" w:rsidRDefault="000502EF" w:rsidP="0030587D">
      <w:pPr>
        <w:spacing w:after="0" w:line="360" w:lineRule="auto"/>
        <w:ind w:firstLine="567"/>
        <w:jc w:val="both"/>
        <w:rPr>
          <w:rFonts w:eastAsia="Times New Roman"/>
          <w:color w:val="000000"/>
        </w:rPr>
      </w:pPr>
      <w:r w:rsidRPr="001E11B9">
        <w:rPr>
          <w:color w:val="000000"/>
        </w:rPr>
        <w:t>IC</w:t>
      </w:r>
      <w:r w:rsidRPr="001E11B9">
        <w:rPr>
          <w:color w:val="000000"/>
          <w:vertAlign w:val="subscript"/>
        </w:rPr>
        <w:t>50</w:t>
      </w:r>
      <w:r w:rsidRPr="001E11B9">
        <w:rPr>
          <w:color w:val="000000"/>
        </w:rPr>
        <w:t xml:space="preserve"> values </w:t>
      </w:r>
      <w:r w:rsidRPr="002C2405">
        <w:rPr>
          <w:rFonts w:eastAsia="Times New Roman"/>
          <w:color w:val="000000"/>
        </w:rPr>
        <w:t xml:space="preserve">(AChE: 4.584 </w:t>
      </w:r>
      <w:r w:rsidRPr="002C2405">
        <w:rPr>
          <w:rFonts w:ascii="Symbol" w:eastAsia="Times New Roman" w:hAnsi="Symbol"/>
          <w:color w:val="000000"/>
        </w:rPr>
        <w:t></w:t>
      </w:r>
      <w:r w:rsidRPr="002C2405">
        <w:rPr>
          <w:rFonts w:eastAsia="Times New Roman"/>
          <w:color w:val="000000"/>
        </w:rPr>
        <w:t>M; BChE: 51.448</w:t>
      </w:r>
      <w:r w:rsidRPr="002C2405">
        <w:rPr>
          <w:rFonts w:ascii="Symbol" w:eastAsia="Times New Roman" w:hAnsi="Symbol"/>
          <w:color w:val="000000"/>
        </w:rPr>
        <w:t></w:t>
      </w:r>
      <w:r w:rsidRPr="002C2405">
        <w:rPr>
          <w:rFonts w:eastAsia="Times New Roman"/>
          <w:color w:val="000000"/>
        </w:rPr>
        <w:t xml:space="preserve">M) </w:t>
      </w:r>
      <w:r>
        <w:rPr>
          <w:color w:val="000000"/>
        </w:rPr>
        <w:t>and</w:t>
      </w:r>
      <w:r w:rsidRPr="002C2405">
        <w:rPr>
          <w:rFonts w:eastAsia="Times New Roman"/>
          <w:color w:val="000000"/>
        </w:rPr>
        <w:t xml:space="preserve"> </w:t>
      </w:r>
      <w:r>
        <w:rPr>
          <w:rFonts w:eastAsia="Times New Roman"/>
          <w:color w:val="000000"/>
        </w:rPr>
        <w:t>k</w:t>
      </w:r>
      <w:r w:rsidRPr="00B84066">
        <w:rPr>
          <w:rFonts w:eastAsia="Times New Roman"/>
          <w:color w:val="000000"/>
          <w:vertAlign w:val="subscript"/>
        </w:rPr>
        <w:t>i</w:t>
      </w:r>
      <w:r w:rsidRPr="002C2405">
        <w:rPr>
          <w:rFonts w:eastAsia="Times New Roman"/>
          <w:color w:val="000000"/>
        </w:rPr>
        <w:t xml:space="preserve"> </w:t>
      </w:r>
      <w:r>
        <w:rPr>
          <w:color w:val="000000"/>
        </w:rPr>
        <w:t>values</w:t>
      </w:r>
      <w:r w:rsidRPr="002C2405">
        <w:rPr>
          <w:rFonts w:eastAsia="Times New Roman"/>
          <w:color w:val="000000"/>
        </w:rPr>
        <w:t xml:space="preserve"> (AChE: 0.00344±0.00071; BChE: 0.05406±0.01009)</w:t>
      </w:r>
      <w:r>
        <w:rPr>
          <w:color w:val="000000"/>
        </w:rPr>
        <w:t xml:space="preserve"> for </w:t>
      </w:r>
      <w:r w:rsidRPr="001E11B9">
        <w:rPr>
          <w:color w:val="000000"/>
        </w:rPr>
        <w:t xml:space="preserve">(1-methyl-4-hydroxy-4-phenylpiperidin-3yl)methanone </w:t>
      </w:r>
      <w:r>
        <w:rPr>
          <w:color w:val="000000"/>
        </w:rPr>
        <w:t xml:space="preserve">compound; </w:t>
      </w:r>
      <w:r w:rsidRPr="002C2405">
        <w:rPr>
          <w:rFonts w:eastAsia="Times New Roman"/>
          <w:color w:val="000000"/>
        </w:rPr>
        <w:t>IC</w:t>
      </w:r>
      <w:r w:rsidRPr="002C2405">
        <w:rPr>
          <w:rFonts w:eastAsia="Times New Roman"/>
          <w:color w:val="000000"/>
          <w:vertAlign w:val="subscript"/>
        </w:rPr>
        <w:t>50</w:t>
      </w:r>
      <w:r w:rsidRPr="002C2405">
        <w:rPr>
          <w:rFonts w:eastAsia="Times New Roman"/>
          <w:color w:val="000000"/>
        </w:rPr>
        <w:t xml:space="preserve"> </w:t>
      </w:r>
      <w:r>
        <w:rPr>
          <w:color w:val="000000"/>
        </w:rPr>
        <w:t>values</w:t>
      </w:r>
      <w:r w:rsidR="003D3207">
        <w:rPr>
          <w:rFonts w:eastAsia="Times New Roman"/>
          <w:color w:val="000000"/>
        </w:rPr>
        <w:t xml:space="preserve"> (AChE: 4.</w:t>
      </w:r>
      <w:r w:rsidRPr="002C2405">
        <w:rPr>
          <w:rFonts w:eastAsia="Times New Roman"/>
          <w:color w:val="000000"/>
        </w:rPr>
        <w:t xml:space="preserve">312 </w:t>
      </w:r>
      <w:r w:rsidRPr="002C2405">
        <w:rPr>
          <w:rFonts w:ascii="Symbol" w:eastAsia="Times New Roman" w:hAnsi="Symbol"/>
          <w:color w:val="000000"/>
        </w:rPr>
        <w:t></w:t>
      </w:r>
      <w:r w:rsidRPr="002C2405">
        <w:rPr>
          <w:rFonts w:eastAsia="Times New Roman"/>
          <w:color w:val="000000"/>
        </w:rPr>
        <w:t xml:space="preserve">M; BChE: 47.968 </w:t>
      </w:r>
      <w:r w:rsidRPr="002C2405">
        <w:rPr>
          <w:rFonts w:ascii="Symbol" w:eastAsia="Times New Roman" w:hAnsi="Symbol"/>
          <w:color w:val="000000"/>
        </w:rPr>
        <w:t></w:t>
      </w:r>
      <w:r w:rsidRPr="002C2405">
        <w:rPr>
          <w:rFonts w:eastAsia="Times New Roman"/>
          <w:color w:val="000000"/>
        </w:rPr>
        <w:t xml:space="preserve">M) </w:t>
      </w:r>
      <w:r>
        <w:rPr>
          <w:color w:val="000000"/>
        </w:rPr>
        <w:t>and</w:t>
      </w:r>
      <w:r w:rsidRPr="002C2405">
        <w:rPr>
          <w:rFonts w:eastAsia="Times New Roman"/>
          <w:color w:val="000000"/>
        </w:rPr>
        <w:t xml:space="preserve"> </w:t>
      </w:r>
      <w:r>
        <w:rPr>
          <w:rFonts w:eastAsia="Times New Roman"/>
          <w:color w:val="000000"/>
        </w:rPr>
        <w:t>k</w:t>
      </w:r>
      <w:r w:rsidRPr="00B84066">
        <w:rPr>
          <w:rFonts w:eastAsia="Times New Roman"/>
          <w:color w:val="000000"/>
          <w:vertAlign w:val="subscript"/>
        </w:rPr>
        <w:t xml:space="preserve">i </w:t>
      </w:r>
      <w:r>
        <w:rPr>
          <w:color w:val="000000"/>
        </w:rPr>
        <w:t xml:space="preserve">values </w:t>
      </w:r>
      <w:r w:rsidR="007647EE">
        <w:rPr>
          <w:rFonts w:eastAsia="Times New Roman"/>
          <w:color w:val="000000"/>
        </w:rPr>
        <w:t xml:space="preserve">(AChE: 0.003047±0.00060; </w:t>
      </w:r>
      <w:r w:rsidRPr="002C2405">
        <w:rPr>
          <w:rFonts w:eastAsia="Times New Roman"/>
          <w:color w:val="000000"/>
        </w:rPr>
        <w:t>BChE: 0.04404±0.05109)</w:t>
      </w:r>
      <w:r w:rsidRPr="00CD4E24">
        <w:t xml:space="preserve"> </w:t>
      </w:r>
      <w:r w:rsidRPr="00CD4E24">
        <w:rPr>
          <w:color w:val="000000"/>
        </w:rPr>
        <w:t xml:space="preserve">for </w:t>
      </w:r>
      <w:r>
        <w:rPr>
          <w:color w:val="000000"/>
        </w:rPr>
        <w:t>(1-</w:t>
      </w:r>
      <w:r w:rsidRPr="00CD4E24">
        <w:rPr>
          <w:color w:val="000000"/>
        </w:rPr>
        <w:t>ethyl-4-hydroxy-4-phenylpiperidin-3yl)methanone compound</w:t>
      </w:r>
      <w:r w:rsidRPr="002C2405">
        <w:rPr>
          <w:rFonts w:eastAsia="Times New Roman"/>
          <w:color w:val="000000"/>
        </w:rPr>
        <w:t xml:space="preserve"> </w:t>
      </w:r>
      <w:r>
        <w:rPr>
          <w:color w:val="000000"/>
        </w:rPr>
        <w:t>were calculated</w:t>
      </w:r>
      <w:r w:rsidRPr="002C2405">
        <w:rPr>
          <w:rFonts w:eastAsia="Times New Roman"/>
          <w:color w:val="000000"/>
        </w:rPr>
        <w:t>.</w:t>
      </w:r>
      <w:r>
        <w:rPr>
          <w:rFonts w:eastAsia="Times New Roman"/>
          <w:color w:val="000000"/>
        </w:rPr>
        <w:t xml:space="preserve"> </w:t>
      </w:r>
      <w:r w:rsidRPr="001E11B9">
        <w:rPr>
          <w:color w:val="212121"/>
        </w:rPr>
        <w:t>The inhibition types of the substances were determined as no</w:t>
      </w:r>
      <w:r>
        <w:rPr>
          <w:color w:val="212121"/>
        </w:rPr>
        <w:t>n</w:t>
      </w:r>
      <w:r w:rsidRPr="001E11B9">
        <w:rPr>
          <w:color w:val="212121"/>
        </w:rPr>
        <w:t>competitive.</w:t>
      </w:r>
      <w:r w:rsidR="00743317">
        <w:rPr>
          <w:color w:val="212121"/>
        </w:rPr>
        <w:t xml:space="preserve"> I</w:t>
      </w:r>
      <w:r w:rsidRPr="00CD4E24">
        <w:rPr>
          <w:color w:val="212121"/>
        </w:rPr>
        <w:t>t was determined that the inhibition effects on the AChE enzyme were much higher in the two compounds of piperidine derivatives, and they inhibited the BChE enzyme at a lower level.</w:t>
      </w:r>
      <w:r>
        <w:t xml:space="preserve"> </w:t>
      </w:r>
      <w:r w:rsidRPr="00276DAC">
        <w:rPr>
          <w:color w:val="212121"/>
        </w:rPr>
        <w:t>Since BChE acts as a correlator in cholinergic transmission in the deficiency and absence of AChE, it is thought that such dual inhibitors may provide longer-term efficacy than AChE selective agents and are therefore important for Alzheimer's disease.</w:t>
      </w:r>
      <w:r w:rsidRPr="00276DAC">
        <w:rPr>
          <w:rFonts w:eastAsia="Times New Roman"/>
          <w:color w:val="000000"/>
        </w:rPr>
        <w:t xml:space="preserve"> At the same time, it is thought that all the results obtained may be a guide for the determination of active substances in the field of pharmacology and for new studies to be carried out, since these compounds form a higher zone diameter than antibiotics on most of the strains studied and have strong antibacterial activity.</w:t>
      </w:r>
      <w:r w:rsidRPr="00955688">
        <w:rPr>
          <w:rFonts w:eastAsia="Times New Roman"/>
          <w:color w:val="000000"/>
        </w:rPr>
        <w:t xml:space="preserve"> </w:t>
      </w:r>
    </w:p>
    <w:p w14:paraId="47FFE1B0" w14:textId="66D8D39A" w:rsidR="00E40B93" w:rsidRPr="00664EDE" w:rsidRDefault="00E40B93" w:rsidP="000502EF">
      <w:pPr>
        <w:spacing w:line="360" w:lineRule="auto"/>
        <w:jc w:val="both"/>
        <w:rPr>
          <w:highlight w:val="yellow"/>
        </w:rPr>
      </w:pPr>
    </w:p>
    <w:p w14:paraId="3E81F1C2" w14:textId="44C10EA8" w:rsidR="001B3FD0" w:rsidRPr="00664EDE" w:rsidRDefault="00763571" w:rsidP="0030587D">
      <w:pPr>
        <w:tabs>
          <w:tab w:val="left" w:pos="3630"/>
        </w:tabs>
        <w:spacing w:after="0" w:line="360" w:lineRule="auto"/>
        <w:ind w:left="567" w:hanging="567"/>
        <w:jc w:val="both"/>
      </w:pPr>
      <w:r w:rsidRPr="00664EDE">
        <w:rPr>
          <w:b/>
        </w:rPr>
        <w:t>Keywords:</w:t>
      </w:r>
      <w:r w:rsidR="004A2ED2" w:rsidRPr="00664EDE">
        <w:t xml:space="preserve"> </w:t>
      </w:r>
      <w:r w:rsidR="000502EF" w:rsidRPr="00276DAC">
        <w:rPr>
          <w:spacing w:val="-1"/>
        </w:rPr>
        <w:t>Alzheimer, Antibacterial, Inhi</w:t>
      </w:r>
      <w:r w:rsidR="000502EF">
        <w:rPr>
          <w:spacing w:val="-1"/>
        </w:rPr>
        <w:t>bitor, Cholinesterase, Piperidin</w:t>
      </w:r>
    </w:p>
    <w:p w14:paraId="1A246AA2" w14:textId="77777777" w:rsidR="00D113AD" w:rsidRPr="00664EDE" w:rsidRDefault="002B7135" w:rsidP="004C1747">
      <w:pPr>
        <w:rPr>
          <w:b/>
        </w:rPr>
      </w:pPr>
      <w:r w:rsidRPr="00664EDE">
        <w:rPr>
          <w:b/>
        </w:rPr>
        <w:br w:type="page"/>
      </w:r>
      <w:bookmarkStart w:id="10" w:name="_Toc11358668"/>
      <w:bookmarkStart w:id="11" w:name="_Toc12097175"/>
      <w:bookmarkStart w:id="12" w:name="_Toc12097631"/>
      <w:bookmarkStart w:id="13" w:name="_Toc12097915"/>
      <w:bookmarkStart w:id="14" w:name="_Toc12864110"/>
    </w:p>
    <w:p w14:paraId="021B8373" w14:textId="77777777" w:rsidR="00300C31" w:rsidRPr="00664EDE" w:rsidRDefault="00345652" w:rsidP="00503E0A">
      <w:pPr>
        <w:pStyle w:val="balk10"/>
        <w:tabs>
          <w:tab w:val="clear" w:pos="3045"/>
          <w:tab w:val="left" w:pos="0"/>
        </w:tabs>
        <w:jc w:val="center"/>
      </w:pPr>
      <w:bookmarkStart w:id="15" w:name="_Toc12954894"/>
      <w:bookmarkStart w:id="16" w:name="_Toc12956491"/>
      <w:bookmarkStart w:id="17" w:name="_Toc12956574"/>
      <w:bookmarkStart w:id="18" w:name="_Toc64567822"/>
      <w:r w:rsidRPr="00664EDE">
        <w:lastRenderedPageBreak/>
        <w:t>TEŞEKKÜR</w:t>
      </w:r>
      <w:bookmarkEnd w:id="10"/>
      <w:bookmarkEnd w:id="11"/>
      <w:bookmarkEnd w:id="12"/>
      <w:bookmarkEnd w:id="13"/>
      <w:bookmarkEnd w:id="14"/>
      <w:bookmarkEnd w:id="15"/>
      <w:bookmarkEnd w:id="16"/>
      <w:bookmarkEnd w:id="17"/>
      <w:bookmarkEnd w:id="18"/>
      <w:r w:rsidR="00300C31" w:rsidRPr="00664EDE">
        <w:br/>
      </w:r>
    </w:p>
    <w:p w14:paraId="37E4DDE4" w14:textId="15023072" w:rsidR="00205F57" w:rsidRDefault="00205F57" w:rsidP="0030587D">
      <w:pPr>
        <w:spacing w:after="0" w:line="360" w:lineRule="auto"/>
        <w:ind w:firstLine="567"/>
        <w:jc w:val="both"/>
      </w:pPr>
      <w:r w:rsidRPr="00205F57">
        <w:t>Bu çalışma, Gümüşhane Üniversitesi Fen Bilimleri Enstitüsü Biyoteknoloji Anabilim Dalı’nda Yüksek Lisans Tezi olarak hazırlanmıştır.</w:t>
      </w:r>
    </w:p>
    <w:p w14:paraId="6CA2558D" w14:textId="7E057E50" w:rsidR="00205F57" w:rsidRPr="000A60A8" w:rsidRDefault="00205F57" w:rsidP="0030587D">
      <w:pPr>
        <w:spacing w:after="0" w:line="360" w:lineRule="auto"/>
        <w:ind w:firstLine="567"/>
        <w:jc w:val="both"/>
        <w:rPr>
          <w:rFonts w:eastAsia="Times New Roman"/>
          <w:spacing w:val="-1"/>
          <w:kern w:val="16"/>
        </w:rPr>
      </w:pPr>
      <w:r w:rsidRPr="000A60A8">
        <w:rPr>
          <w:rFonts w:eastAsia="Calibri"/>
          <w:kern w:val="16"/>
        </w:rPr>
        <w:t xml:space="preserve">Yüksek Lisans eğitimim boyunca </w:t>
      </w:r>
      <w:r w:rsidRPr="000A60A8">
        <w:rPr>
          <w:rFonts w:eastAsia="Times New Roman"/>
          <w:spacing w:val="-1"/>
          <w:kern w:val="16"/>
        </w:rPr>
        <w:t>bilgisini ve tecrü</w:t>
      </w:r>
      <w:r>
        <w:rPr>
          <w:rFonts w:eastAsia="Times New Roman"/>
          <w:spacing w:val="-1"/>
          <w:kern w:val="16"/>
        </w:rPr>
        <w:t xml:space="preserve">belerini benimle paylaşan, her  </w:t>
      </w:r>
      <w:r w:rsidRPr="000A60A8">
        <w:rPr>
          <w:rFonts w:eastAsia="Times New Roman"/>
          <w:spacing w:val="-1"/>
          <w:kern w:val="16"/>
        </w:rPr>
        <w:t>daim beni yalnız bırakmayan değerli hocam</w:t>
      </w:r>
      <w:r w:rsidRPr="000A60A8">
        <w:rPr>
          <w:rFonts w:eastAsia="Times New Roman"/>
          <w:spacing w:val="5"/>
          <w:kern w:val="16"/>
        </w:rPr>
        <w:t xml:space="preserve"> </w:t>
      </w:r>
      <w:r w:rsidRPr="000A60A8">
        <w:rPr>
          <w:rFonts w:eastAsia="Times New Roman"/>
          <w:spacing w:val="-1"/>
          <w:kern w:val="16"/>
        </w:rPr>
        <w:t>Doç.</w:t>
      </w:r>
      <w:r w:rsidRPr="000A60A8">
        <w:rPr>
          <w:rFonts w:eastAsia="Times New Roman"/>
          <w:spacing w:val="7"/>
          <w:kern w:val="16"/>
        </w:rPr>
        <w:t xml:space="preserve"> </w:t>
      </w:r>
      <w:r w:rsidRPr="000A60A8">
        <w:rPr>
          <w:rFonts w:eastAsia="Times New Roman"/>
          <w:spacing w:val="-1"/>
          <w:kern w:val="16"/>
        </w:rPr>
        <w:t>Dr.</w:t>
      </w:r>
      <w:r w:rsidRPr="000A60A8">
        <w:rPr>
          <w:rFonts w:eastAsia="Times New Roman"/>
          <w:spacing w:val="4"/>
          <w:kern w:val="16"/>
        </w:rPr>
        <w:t xml:space="preserve"> </w:t>
      </w:r>
      <w:r w:rsidRPr="000A60A8">
        <w:rPr>
          <w:rFonts w:eastAsia="Times New Roman"/>
          <w:spacing w:val="-1"/>
          <w:kern w:val="16"/>
        </w:rPr>
        <w:t>Sevim Beyza ÖZTÜRK</w:t>
      </w:r>
      <w:r w:rsidRPr="000A60A8">
        <w:rPr>
          <w:rFonts w:eastAsia="Times New Roman"/>
          <w:spacing w:val="5"/>
          <w:kern w:val="16"/>
        </w:rPr>
        <w:t xml:space="preserve"> SARI</w:t>
      </w:r>
      <w:r w:rsidRPr="000A60A8">
        <w:rPr>
          <w:rFonts w:eastAsia="Times New Roman"/>
          <w:kern w:val="16"/>
        </w:rPr>
        <w:t>KAYA’ya teşekkürü bir borç bilirim.</w:t>
      </w:r>
    </w:p>
    <w:p w14:paraId="39E2A895" w14:textId="649AB8A7" w:rsidR="00294AAB" w:rsidRDefault="000502EF" w:rsidP="0030587D">
      <w:pPr>
        <w:spacing w:after="0" w:line="360" w:lineRule="auto"/>
        <w:ind w:firstLine="567"/>
        <w:jc w:val="both"/>
        <w:rPr>
          <w:rFonts w:eastAsia="Calibri"/>
          <w:kern w:val="16"/>
        </w:rPr>
      </w:pPr>
      <w:r w:rsidRPr="000A60A8">
        <w:rPr>
          <w:rFonts w:eastAsia="Times New Roman"/>
          <w:spacing w:val="-1"/>
          <w:kern w:val="16"/>
        </w:rPr>
        <w:t xml:space="preserve">Tez çalışmam boyunca çalışma ortamı sağladığım Gümüşhane </w:t>
      </w:r>
      <w:r w:rsidR="00205F57">
        <w:rPr>
          <w:rFonts w:eastAsia="Times New Roman"/>
          <w:spacing w:val="-1"/>
          <w:kern w:val="16"/>
        </w:rPr>
        <w:t>Üniversitesi Gıda Mühendisliği B</w:t>
      </w:r>
      <w:r w:rsidRPr="000A60A8">
        <w:rPr>
          <w:rFonts w:eastAsia="Times New Roman"/>
          <w:spacing w:val="-1"/>
          <w:kern w:val="16"/>
        </w:rPr>
        <w:t xml:space="preserve">ölümüne ve Merkezi Araştırma Laboratuvarı Uygulama ve Araştırma Merkezine, maddelerin sentezini yapıp veren </w:t>
      </w:r>
      <w:r w:rsidRPr="000A60A8">
        <w:rPr>
          <w:rFonts w:eastAsia="Calibri"/>
          <w:kern w:val="16"/>
        </w:rPr>
        <w:t xml:space="preserve">Gümüşhane Üniv. Sağlık Bilimleri Fakültesi Öğretim Üyelerinden Doç. Dr. Ahmet Afşin KAYA’ya, </w:t>
      </w:r>
      <w:r w:rsidR="00294AAB">
        <w:rPr>
          <w:rFonts w:eastAsia="Calibri"/>
          <w:kern w:val="16"/>
        </w:rPr>
        <w:t>iki</w:t>
      </w:r>
      <w:r w:rsidRPr="000A60A8">
        <w:rPr>
          <w:rFonts w:eastAsia="Calibri"/>
          <w:kern w:val="16"/>
        </w:rPr>
        <w:t xml:space="preserve"> bakteri türünün temininde bize destek sağlayan Atatürk Ünive</w:t>
      </w:r>
      <w:r w:rsidR="00241030">
        <w:rPr>
          <w:rFonts w:eastAsia="Calibri"/>
          <w:kern w:val="16"/>
        </w:rPr>
        <w:t xml:space="preserve">rsitesi Gıda Mühendisliği Öğretim Üyesi Prof. </w:t>
      </w:r>
      <w:r w:rsidRPr="000A60A8">
        <w:rPr>
          <w:rFonts w:eastAsia="Calibri"/>
          <w:kern w:val="16"/>
        </w:rPr>
        <w:t xml:space="preserve">Dr. Bülent ÇETİN’e, </w:t>
      </w:r>
      <w:r>
        <w:rPr>
          <w:rFonts w:eastAsia="Calibri"/>
          <w:kern w:val="16"/>
        </w:rPr>
        <w:t xml:space="preserve">çalışmam süresince yardımını esirgemeyen çalışma arkadaşım Öğr. Gör. Cuma ZEHİROĞLU’na </w:t>
      </w:r>
      <w:r w:rsidRPr="000A60A8">
        <w:rPr>
          <w:rFonts w:eastAsia="Calibri"/>
          <w:kern w:val="16"/>
        </w:rPr>
        <w:t>teşekkür ederim.</w:t>
      </w:r>
    </w:p>
    <w:p w14:paraId="7F1F5FDB" w14:textId="476A3C1D" w:rsidR="000502EF" w:rsidRPr="00294AAB" w:rsidRDefault="000502EF" w:rsidP="0030587D">
      <w:pPr>
        <w:spacing w:after="0" w:line="360" w:lineRule="auto"/>
        <w:ind w:firstLine="567"/>
        <w:jc w:val="both"/>
        <w:rPr>
          <w:rFonts w:eastAsia="Calibri"/>
          <w:kern w:val="16"/>
        </w:rPr>
      </w:pPr>
      <w:r w:rsidRPr="000A60A8">
        <w:rPr>
          <w:rFonts w:eastAsia="Times New Roman"/>
        </w:rPr>
        <w:t>Eğitim öğretim hayatım süresince üzerimde maddi</w:t>
      </w:r>
      <w:r>
        <w:rPr>
          <w:rFonts w:eastAsia="Times New Roman"/>
        </w:rPr>
        <w:t xml:space="preserve"> ve</w:t>
      </w:r>
      <w:r w:rsidRPr="000A60A8">
        <w:rPr>
          <w:rFonts w:eastAsia="Times New Roman"/>
        </w:rPr>
        <w:t xml:space="preserve"> manevi emeği çok</w:t>
      </w:r>
      <w:r>
        <w:rPr>
          <w:rFonts w:eastAsia="Times New Roman"/>
        </w:rPr>
        <w:t xml:space="preserve"> olan</w:t>
      </w:r>
      <w:r w:rsidR="00205F57">
        <w:rPr>
          <w:rFonts w:eastAsia="Times New Roman"/>
        </w:rPr>
        <w:t xml:space="preserve"> ailemin her </w:t>
      </w:r>
      <w:r w:rsidRPr="000A60A8">
        <w:rPr>
          <w:rFonts w:eastAsia="Times New Roman"/>
        </w:rPr>
        <w:t>bir bireyine teşekkür ederim. Çalışmam süresince göstermiş olduğu destek ve sabrından dolayı eşim Nermin Çoşkun</w:t>
      </w:r>
      <w:r>
        <w:rPr>
          <w:rFonts w:eastAsia="Times New Roman"/>
        </w:rPr>
        <w:t>’a</w:t>
      </w:r>
      <w:r w:rsidRPr="000A60A8">
        <w:rPr>
          <w:rFonts w:eastAsia="Times New Roman"/>
        </w:rPr>
        <w:t xml:space="preserve"> ve sevgisiyle beni her </w:t>
      </w:r>
      <w:r w:rsidR="00205F57">
        <w:rPr>
          <w:rFonts w:eastAsia="Times New Roman"/>
        </w:rPr>
        <w:t>an</w:t>
      </w:r>
      <w:r w:rsidRPr="000A60A8">
        <w:rPr>
          <w:rFonts w:eastAsia="Times New Roman"/>
        </w:rPr>
        <w:t xml:space="preserve"> sıcacık saran ve kucaklayan, evimizin neşesi</w:t>
      </w:r>
      <w:r w:rsidR="00205F57">
        <w:rPr>
          <w:rFonts w:eastAsia="Times New Roman"/>
        </w:rPr>
        <w:t>,</w:t>
      </w:r>
      <w:r w:rsidRPr="000A60A8">
        <w:rPr>
          <w:rFonts w:eastAsia="Times New Roman"/>
        </w:rPr>
        <w:t xml:space="preserve"> biricik kızımız Erva Çoşkun’a sonsuz teşekkür ederim.</w:t>
      </w:r>
    </w:p>
    <w:p w14:paraId="71AD5848" w14:textId="77777777" w:rsidR="000502EF" w:rsidRPr="00CA5F73" w:rsidRDefault="000502EF" w:rsidP="000502EF">
      <w:pPr>
        <w:spacing w:line="360" w:lineRule="auto"/>
        <w:jc w:val="both"/>
        <w:rPr>
          <w:rFonts w:eastAsia="Times New Roman"/>
        </w:rPr>
      </w:pPr>
    </w:p>
    <w:p w14:paraId="61B3F964" w14:textId="77777777" w:rsidR="00345652" w:rsidRPr="00664EDE" w:rsidRDefault="00345652" w:rsidP="003B47DC">
      <w:pPr>
        <w:tabs>
          <w:tab w:val="left" w:pos="567"/>
        </w:tabs>
        <w:spacing w:after="0" w:line="360" w:lineRule="auto"/>
        <w:jc w:val="both"/>
        <w:rPr>
          <w:b/>
        </w:rPr>
      </w:pPr>
    </w:p>
    <w:p w14:paraId="5073494B" w14:textId="77777777" w:rsidR="0019614B" w:rsidRPr="00664EDE" w:rsidRDefault="0019614B" w:rsidP="00345652">
      <w:pPr>
        <w:tabs>
          <w:tab w:val="left" w:pos="851"/>
        </w:tabs>
        <w:spacing w:line="360" w:lineRule="auto"/>
        <w:jc w:val="both"/>
        <w:rPr>
          <w:b/>
        </w:rPr>
      </w:pPr>
    </w:p>
    <w:p w14:paraId="71CFA586" w14:textId="07735387" w:rsidR="0019614B" w:rsidRPr="0064350A" w:rsidRDefault="000502EF" w:rsidP="0019614B">
      <w:pPr>
        <w:tabs>
          <w:tab w:val="left" w:pos="851"/>
        </w:tabs>
        <w:spacing w:line="360" w:lineRule="auto"/>
        <w:jc w:val="right"/>
      </w:pPr>
      <w:r w:rsidRPr="0064350A">
        <w:t>Levent ÇOŞKUN</w:t>
      </w:r>
    </w:p>
    <w:p w14:paraId="460DF95E" w14:textId="131B2736" w:rsidR="00D361E1" w:rsidRPr="0064350A" w:rsidRDefault="0064350A" w:rsidP="00D361E1">
      <w:pPr>
        <w:tabs>
          <w:tab w:val="left" w:pos="851"/>
        </w:tabs>
        <w:spacing w:line="360" w:lineRule="auto"/>
        <w:jc w:val="right"/>
      </w:pPr>
      <w:r>
        <w:t xml:space="preserve">       </w:t>
      </w:r>
      <w:r w:rsidR="0019614B" w:rsidRPr="0064350A">
        <w:t>Gümüşhane, 20</w:t>
      </w:r>
      <w:r w:rsidRPr="0064350A">
        <w:t>21</w:t>
      </w:r>
    </w:p>
    <w:p w14:paraId="2124765F" w14:textId="77777777" w:rsidR="00D113AD" w:rsidRPr="00664EDE" w:rsidRDefault="002B7135" w:rsidP="00E75411">
      <w:r w:rsidRPr="00664EDE">
        <w:br w:type="page"/>
      </w:r>
      <w:bookmarkStart w:id="19" w:name="_Toc11358669"/>
      <w:bookmarkStart w:id="20" w:name="_Toc12097176"/>
      <w:bookmarkStart w:id="21" w:name="_Toc12097632"/>
      <w:bookmarkStart w:id="22" w:name="_Toc12097916"/>
      <w:bookmarkStart w:id="23" w:name="_Toc12864111"/>
    </w:p>
    <w:p w14:paraId="77858F5B" w14:textId="3CDB3B1D" w:rsidR="00FE43F2" w:rsidRPr="00333C41" w:rsidRDefault="00FE43F2" w:rsidP="00333C41">
      <w:pPr>
        <w:widowControl w:val="0"/>
        <w:spacing w:after="0" w:line="360" w:lineRule="auto"/>
        <w:jc w:val="center"/>
        <w:outlineLvl w:val="0"/>
        <w:rPr>
          <w:rFonts w:eastAsia="Times New Roman"/>
          <w:b/>
          <w:noProof/>
          <w:spacing w:val="-1"/>
          <w:lang w:eastAsia="en-US"/>
        </w:rPr>
      </w:pPr>
      <w:bookmarkStart w:id="24" w:name="_Toc46106191"/>
      <w:bookmarkEnd w:id="19"/>
      <w:bookmarkEnd w:id="20"/>
      <w:bookmarkEnd w:id="21"/>
      <w:bookmarkEnd w:id="22"/>
      <w:bookmarkEnd w:id="23"/>
      <w:r w:rsidRPr="004F5822">
        <w:rPr>
          <w:rFonts w:eastAsia="Times New Roman"/>
          <w:b/>
          <w:noProof/>
          <w:spacing w:val="-1"/>
          <w:lang w:eastAsia="en-US"/>
        </w:rPr>
        <w:lastRenderedPageBreak/>
        <w:t xml:space="preserve">İÇİNDEKİLER </w:t>
      </w:r>
      <w:bookmarkEnd w:id="24"/>
    </w:p>
    <w:p w14:paraId="5D189704" w14:textId="10A1D603" w:rsidR="00333C41" w:rsidRDefault="00FE43F2" w:rsidP="00333C41">
      <w:pPr>
        <w:widowControl w:val="0"/>
        <w:tabs>
          <w:tab w:val="left" w:leader="dot" w:pos="8931"/>
        </w:tabs>
        <w:spacing w:after="0" w:line="360" w:lineRule="auto"/>
        <w:jc w:val="right"/>
        <w:rPr>
          <w:rFonts w:eastAsia="Times New Roman"/>
          <w:b/>
          <w:kern w:val="16"/>
          <w:u w:val="single"/>
          <w:lang w:val="en-US" w:eastAsia="en-US"/>
        </w:rPr>
      </w:pPr>
      <w:r w:rsidRPr="00333C41">
        <w:rPr>
          <w:rFonts w:eastAsia="Times New Roman"/>
          <w:kern w:val="16"/>
          <w:lang w:val="en-US" w:eastAsia="en-US"/>
        </w:rPr>
        <w:t xml:space="preserve">  </w:t>
      </w:r>
      <w:r w:rsidRPr="00333C41">
        <w:rPr>
          <w:rFonts w:eastAsia="Times New Roman"/>
          <w:b/>
          <w:kern w:val="16"/>
          <w:u w:val="single"/>
          <w:lang w:val="en-US" w:eastAsia="en-US"/>
        </w:rPr>
        <w:t>Sayfa No</w:t>
      </w:r>
    </w:p>
    <w:p w14:paraId="6845716A" w14:textId="77777777" w:rsidR="00333C41" w:rsidRPr="00333C41" w:rsidRDefault="00333C41" w:rsidP="00333C41">
      <w:pPr>
        <w:widowControl w:val="0"/>
        <w:tabs>
          <w:tab w:val="left" w:leader="dot" w:pos="8931"/>
        </w:tabs>
        <w:spacing w:after="0" w:line="240" w:lineRule="auto"/>
        <w:jc w:val="right"/>
        <w:rPr>
          <w:rFonts w:eastAsia="Times New Roman"/>
          <w:b/>
          <w:kern w:val="16"/>
          <w:u w:val="single"/>
          <w:lang w:val="en-US" w:eastAsia="en-US"/>
        </w:rPr>
      </w:pPr>
    </w:p>
    <w:p w14:paraId="1E4B2D88" w14:textId="77777777" w:rsidR="00FE43F2" w:rsidRDefault="00FE43F2" w:rsidP="009F1432">
      <w:pPr>
        <w:widowControl w:val="0"/>
        <w:tabs>
          <w:tab w:val="left" w:pos="442"/>
          <w:tab w:val="right" w:leader="dot" w:pos="8942"/>
        </w:tabs>
        <w:spacing w:after="120" w:line="240" w:lineRule="auto"/>
        <w:ind w:left="442"/>
        <w:rPr>
          <w:rFonts w:eastAsia="Calibri"/>
          <w:noProof/>
          <w:lang w:eastAsia="en-US"/>
        </w:rPr>
      </w:pPr>
      <w:r w:rsidRPr="004F5822">
        <w:rPr>
          <w:rFonts w:eastAsia="Times New Roman"/>
          <w:noProof/>
          <w:spacing w:val="-1"/>
          <w:lang w:eastAsia="en-US"/>
        </w:rPr>
        <w:fldChar w:fldCharType="begin"/>
      </w:r>
      <w:r w:rsidRPr="004F5822">
        <w:rPr>
          <w:rFonts w:eastAsia="Times New Roman"/>
          <w:noProof/>
          <w:spacing w:val="-1"/>
          <w:lang w:eastAsia="en-US"/>
        </w:rPr>
        <w:instrText xml:space="preserve"> TOC \o "1-3" \h \z \u </w:instrText>
      </w:r>
      <w:r w:rsidRPr="004F5822">
        <w:rPr>
          <w:rFonts w:eastAsia="Times New Roman"/>
          <w:noProof/>
          <w:spacing w:val="-1"/>
          <w:lang w:eastAsia="en-US"/>
        </w:rPr>
        <w:fldChar w:fldCharType="separate"/>
      </w:r>
      <w:hyperlink w:anchor="_Toc46106188" w:history="1">
        <w:r w:rsidRPr="004F5822">
          <w:rPr>
            <w:rFonts w:eastAsia="Calibri"/>
            <w:noProof/>
            <w:lang w:eastAsia="en-US"/>
          </w:rPr>
          <w:t>ÖZET</w:t>
        </w:r>
        <w:r w:rsidRPr="004F5822">
          <w:rPr>
            <w:rFonts w:eastAsia="Calibri"/>
            <w:noProof/>
            <w:webHidden/>
            <w:lang w:eastAsia="en-US"/>
          </w:rPr>
          <w:tab/>
          <w:t>IV</w:t>
        </w:r>
      </w:hyperlink>
    </w:p>
    <w:p w14:paraId="7B5440F4" w14:textId="65CB05BD" w:rsidR="00006BED" w:rsidRDefault="0009168B" w:rsidP="009F1432">
      <w:pPr>
        <w:widowControl w:val="0"/>
        <w:tabs>
          <w:tab w:val="left" w:pos="442"/>
          <w:tab w:val="right" w:leader="dot" w:pos="8942"/>
        </w:tabs>
        <w:spacing w:after="120" w:line="240" w:lineRule="auto"/>
        <w:ind w:left="442"/>
        <w:rPr>
          <w:rFonts w:eastAsia="Calibri"/>
          <w:noProof/>
          <w:lang w:eastAsia="en-US"/>
        </w:rPr>
      </w:pPr>
      <w:hyperlink w:anchor="_Toc46106188" w:history="1">
        <w:r w:rsidR="00006BED">
          <w:rPr>
            <w:rFonts w:eastAsia="Calibri"/>
            <w:noProof/>
            <w:lang w:eastAsia="en-US"/>
          </w:rPr>
          <w:t>ABSTRACT</w:t>
        </w:r>
        <w:r w:rsidR="00006BED" w:rsidRPr="004F5822">
          <w:rPr>
            <w:rFonts w:eastAsia="Calibri"/>
            <w:noProof/>
            <w:webHidden/>
            <w:lang w:eastAsia="en-US"/>
          </w:rPr>
          <w:tab/>
        </w:r>
        <w:r w:rsidR="00006BED">
          <w:rPr>
            <w:rFonts w:eastAsia="Calibri"/>
            <w:noProof/>
            <w:webHidden/>
            <w:lang w:eastAsia="en-US"/>
          </w:rPr>
          <w:t>VI</w:t>
        </w:r>
      </w:hyperlink>
    </w:p>
    <w:p w14:paraId="6F0780AF" w14:textId="0604075B" w:rsidR="00E26E92" w:rsidRDefault="0009168B" w:rsidP="009F1432">
      <w:pPr>
        <w:widowControl w:val="0"/>
        <w:tabs>
          <w:tab w:val="left" w:pos="442"/>
          <w:tab w:val="right" w:leader="dot" w:pos="8942"/>
        </w:tabs>
        <w:spacing w:after="120" w:line="240" w:lineRule="auto"/>
        <w:ind w:left="442"/>
        <w:rPr>
          <w:rFonts w:eastAsia="Calibri"/>
          <w:noProof/>
          <w:lang w:eastAsia="en-US"/>
        </w:rPr>
      </w:pPr>
      <w:hyperlink w:anchor="_Toc46106188" w:history="1">
        <w:r w:rsidR="00E26E92">
          <w:rPr>
            <w:rFonts w:eastAsia="Calibri"/>
            <w:noProof/>
            <w:lang w:eastAsia="en-US"/>
          </w:rPr>
          <w:t>TEŞEKKÜR</w:t>
        </w:r>
        <w:r w:rsidR="00E26E92" w:rsidRPr="004F5822">
          <w:rPr>
            <w:rFonts w:eastAsia="Calibri"/>
            <w:noProof/>
            <w:webHidden/>
            <w:lang w:eastAsia="en-US"/>
          </w:rPr>
          <w:tab/>
        </w:r>
        <w:r w:rsidR="00E26E92">
          <w:rPr>
            <w:rFonts w:eastAsia="Calibri"/>
            <w:noProof/>
            <w:webHidden/>
            <w:lang w:eastAsia="en-US"/>
          </w:rPr>
          <w:t>VI</w:t>
        </w:r>
      </w:hyperlink>
      <w:r w:rsidR="00E26E92">
        <w:rPr>
          <w:rFonts w:eastAsia="Calibri"/>
          <w:noProof/>
          <w:lang w:eastAsia="en-US"/>
        </w:rPr>
        <w:t>II</w:t>
      </w:r>
    </w:p>
    <w:p w14:paraId="6971AFC1" w14:textId="48F22836" w:rsidR="00E26E92" w:rsidRDefault="0009168B" w:rsidP="009F1432">
      <w:pPr>
        <w:widowControl w:val="0"/>
        <w:tabs>
          <w:tab w:val="left" w:pos="442"/>
          <w:tab w:val="right" w:leader="dot" w:pos="8942"/>
        </w:tabs>
        <w:spacing w:after="120" w:line="240" w:lineRule="auto"/>
        <w:ind w:left="442"/>
        <w:rPr>
          <w:rFonts w:eastAsia="Calibri"/>
          <w:noProof/>
          <w:lang w:eastAsia="en-US"/>
        </w:rPr>
      </w:pPr>
      <w:hyperlink w:anchor="_Toc46106188" w:history="1">
        <w:r w:rsidR="00A959BD">
          <w:rPr>
            <w:rFonts w:eastAsia="Calibri"/>
            <w:noProof/>
            <w:lang w:eastAsia="en-US"/>
          </w:rPr>
          <w:t>İÇİNDEKİLER</w:t>
        </w:r>
        <w:r w:rsidR="00E26E92" w:rsidRPr="004F5822">
          <w:rPr>
            <w:rFonts w:eastAsia="Calibri"/>
            <w:noProof/>
            <w:webHidden/>
            <w:lang w:eastAsia="en-US"/>
          </w:rPr>
          <w:tab/>
        </w:r>
        <w:r w:rsidR="00E26E92">
          <w:rPr>
            <w:rFonts w:eastAsia="Calibri"/>
            <w:noProof/>
            <w:webHidden/>
            <w:lang w:eastAsia="en-US"/>
          </w:rPr>
          <w:t>IX</w:t>
        </w:r>
      </w:hyperlink>
    </w:p>
    <w:p w14:paraId="72A0AFEE" w14:textId="312BF1D3" w:rsidR="00E26E92" w:rsidRDefault="0009168B" w:rsidP="009F1432">
      <w:pPr>
        <w:widowControl w:val="0"/>
        <w:tabs>
          <w:tab w:val="left" w:pos="442"/>
          <w:tab w:val="right" w:leader="dot" w:pos="8942"/>
        </w:tabs>
        <w:spacing w:after="120" w:line="240" w:lineRule="auto"/>
        <w:ind w:left="442"/>
        <w:rPr>
          <w:rFonts w:eastAsia="Calibri"/>
          <w:noProof/>
          <w:lang w:eastAsia="en-US"/>
        </w:rPr>
      </w:pPr>
      <w:hyperlink w:anchor="_Toc46106188" w:history="1">
        <w:r w:rsidR="00E26E92">
          <w:rPr>
            <w:rFonts w:eastAsia="Calibri"/>
            <w:noProof/>
            <w:lang w:eastAsia="en-US"/>
          </w:rPr>
          <w:t>ŞEKİLLER DİZİSİ</w:t>
        </w:r>
        <w:r w:rsidR="00E26E92" w:rsidRPr="004F5822">
          <w:rPr>
            <w:rFonts w:eastAsia="Calibri"/>
            <w:noProof/>
            <w:webHidden/>
            <w:lang w:eastAsia="en-US"/>
          </w:rPr>
          <w:tab/>
        </w:r>
        <w:r w:rsidR="00E26E92">
          <w:rPr>
            <w:rFonts w:eastAsia="Calibri"/>
            <w:noProof/>
            <w:webHidden/>
            <w:lang w:eastAsia="en-US"/>
          </w:rPr>
          <w:t>XI</w:t>
        </w:r>
      </w:hyperlink>
    </w:p>
    <w:p w14:paraId="09A5BEF2" w14:textId="0659EB4E" w:rsidR="00E26E92" w:rsidRDefault="0009168B" w:rsidP="009F1432">
      <w:pPr>
        <w:widowControl w:val="0"/>
        <w:tabs>
          <w:tab w:val="left" w:pos="442"/>
          <w:tab w:val="right" w:leader="dot" w:pos="8942"/>
        </w:tabs>
        <w:spacing w:after="120" w:line="240" w:lineRule="auto"/>
        <w:ind w:left="442"/>
        <w:rPr>
          <w:rFonts w:eastAsia="Calibri"/>
          <w:noProof/>
          <w:lang w:eastAsia="en-US"/>
        </w:rPr>
      </w:pPr>
      <w:hyperlink w:anchor="_Toc46106188" w:history="1">
        <w:r w:rsidR="00E26E92">
          <w:rPr>
            <w:rFonts w:eastAsia="Calibri"/>
            <w:noProof/>
            <w:lang w:eastAsia="en-US"/>
          </w:rPr>
          <w:t>TABLOLAR DİZİNİ</w:t>
        </w:r>
        <w:r w:rsidR="00E26E92" w:rsidRPr="004F5822">
          <w:rPr>
            <w:rFonts w:eastAsia="Calibri"/>
            <w:noProof/>
            <w:webHidden/>
            <w:lang w:eastAsia="en-US"/>
          </w:rPr>
          <w:tab/>
        </w:r>
        <w:r w:rsidR="00E26E92">
          <w:rPr>
            <w:rFonts w:eastAsia="Calibri"/>
            <w:noProof/>
            <w:webHidden/>
            <w:lang w:eastAsia="en-US"/>
          </w:rPr>
          <w:t>XIII</w:t>
        </w:r>
      </w:hyperlink>
    </w:p>
    <w:p w14:paraId="7D0AFBF0" w14:textId="08485528" w:rsidR="00E26E92" w:rsidRDefault="0009168B" w:rsidP="009F1432">
      <w:pPr>
        <w:widowControl w:val="0"/>
        <w:tabs>
          <w:tab w:val="left" w:pos="442"/>
          <w:tab w:val="right" w:leader="dot" w:pos="8942"/>
        </w:tabs>
        <w:spacing w:after="120" w:line="240" w:lineRule="auto"/>
        <w:ind w:left="442"/>
        <w:rPr>
          <w:rFonts w:eastAsia="Calibri"/>
          <w:noProof/>
          <w:lang w:eastAsia="en-US"/>
        </w:rPr>
      </w:pPr>
      <w:hyperlink w:anchor="_Toc46106188" w:history="1">
        <w:r w:rsidR="00E26E92">
          <w:rPr>
            <w:rFonts w:eastAsia="Calibri"/>
            <w:noProof/>
            <w:lang w:eastAsia="en-US"/>
          </w:rPr>
          <w:t>SEMBOLLER ve KISALTMALAR DİZİNİ</w:t>
        </w:r>
        <w:r w:rsidR="00E26E92" w:rsidRPr="004F5822">
          <w:rPr>
            <w:rFonts w:eastAsia="Calibri"/>
            <w:noProof/>
            <w:webHidden/>
            <w:lang w:eastAsia="en-US"/>
          </w:rPr>
          <w:tab/>
        </w:r>
        <w:r w:rsidR="00E26E92">
          <w:rPr>
            <w:rFonts w:eastAsia="Calibri"/>
            <w:noProof/>
            <w:webHidden/>
            <w:lang w:eastAsia="en-US"/>
          </w:rPr>
          <w:t>XIV</w:t>
        </w:r>
      </w:hyperlink>
    </w:p>
    <w:p w14:paraId="738301E9" w14:textId="732E5B92" w:rsidR="00E26E92" w:rsidRPr="004F5822"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197" w:history="1">
        <w:r w:rsidR="00E26E92">
          <w:rPr>
            <w:rFonts w:eastAsia="Calibri"/>
            <w:noProof/>
            <w:lang w:eastAsia="en-US"/>
          </w:rPr>
          <w:t>1.</w:t>
        </w:r>
        <w:r w:rsidR="00E26E92" w:rsidRPr="004F5822">
          <w:rPr>
            <w:rFonts w:eastAsia="Calibri"/>
            <w:noProof/>
            <w:lang w:eastAsia="en-US"/>
          </w:rPr>
          <w:tab/>
          <w:t xml:space="preserve">       </w:t>
        </w:r>
        <w:r w:rsidR="00E26E92">
          <w:rPr>
            <w:rFonts w:eastAsia="Calibri"/>
            <w:noProof/>
            <w:lang w:eastAsia="en-US"/>
          </w:rPr>
          <w:t>GENEL BİLGİLER</w:t>
        </w:r>
        <w:r w:rsidR="00E26E92" w:rsidRPr="004F5822">
          <w:rPr>
            <w:rFonts w:eastAsia="Calibri"/>
            <w:noProof/>
            <w:webHidden/>
            <w:lang w:eastAsia="en-US"/>
          </w:rPr>
          <w:tab/>
          <w:t>1</w:t>
        </w:r>
      </w:hyperlink>
    </w:p>
    <w:p w14:paraId="0CEEA173" w14:textId="5A907716" w:rsidR="00E26E92" w:rsidRPr="004F5822"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197" w:history="1">
        <w:r w:rsidR="00E26E92">
          <w:rPr>
            <w:rFonts w:eastAsia="Calibri"/>
            <w:noProof/>
            <w:lang w:eastAsia="en-US"/>
          </w:rPr>
          <w:t>1.1.</w:t>
        </w:r>
        <w:r w:rsidR="00E26E92" w:rsidRPr="004F5822">
          <w:rPr>
            <w:rFonts w:eastAsia="Calibri"/>
            <w:noProof/>
            <w:lang w:eastAsia="en-US"/>
          </w:rPr>
          <w:tab/>
          <w:t xml:space="preserve">       </w:t>
        </w:r>
        <w:r w:rsidR="00E26E92">
          <w:rPr>
            <w:rFonts w:eastAsia="Calibri"/>
            <w:noProof/>
            <w:lang w:eastAsia="en-US"/>
          </w:rPr>
          <w:t>Giriş</w:t>
        </w:r>
        <w:r w:rsidR="00E26E92" w:rsidRPr="004F5822">
          <w:rPr>
            <w:rFonts w:eastAsia="Calibri"/>
            <w:noProof/>
            <w:webHidden/>
            <w:lang w:eastAsia="en-US"/>
          </w:rPr>
          <w:tab/>
          <w:t>1</w:t>
        </w:r>
      </w:hyperlink>
    </w:p>
    <w:p w14:paraId="750035A6" w14:textId="77777777" w:rsidR="00FE43F2" w:rsidRPr="004F5822"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197" w:history="1">
        <w:r w:rsidR="00FE43F2" w:rsidRPr="004F5822">
          <w:rPr>
            <w:rFonts w:eastAsia="Calibri"/>
            <w:noProof/>
            <w:lang w:eastAsia="en-US"/>
          </w:rPr>
          <w:t>1.1.1.</w:t>
        </w:r>
        <w:r w:rsidR="00FE43F2" w:rsidRPr="004F5822">
          <w:rPr>
            <w:rFonts w:eastAsia="Calibri"/>
            <w:noProof/>
            <w:lang w:eastAsia="en-US"/>
          </w:rPr>
          <w:tab/>
          <w:t xml:space="preserve">       Enzimler</w:t>
        </w:r>
        <w:r w:rsidR="00FE43F2" w:rsidRPr="004F5822">
          <w:rPr>
            <w:rFonts w:eastAsia="Calibri"/>
            <w:noProof/>
            <w:webHidden/>
            <w:lang w:eastAsia="en-US"/>
          </w:rPr>
          <w:tab/>
          <w:t>1</w:t>
        </w:r>
      </w:hyperlink>
    </w:p>
    <w:p w14:paraId="24170C61" w14:textId="77777777" w:rsidR="00FE43F2" w:rsidRPr="004F5822" w:rsidRDefault="0009168B" w:rsidP="009F1432">
      <w:pPr>
        <w:widowControl w:val="0"/>
        <w:tabs>
          <w:tab w:val="left" w:pos="442"/>
          <w:tab w:val="right" w:leader="dot" w:pos="8942"/>
        </w:tabs>
        <w:spacing w:after="120" w:line="240" w:lineRule="auto"/>
        <w:ind w:left="426"/>
        <w:rPr>
          <w:rFonts w:eastAsia="Calibri"/>
          <w:noProof/>
          <w:lang w:eastAsia="en-US"/>
        </w:rPr>
      </w:pPr>
      <w:hyperlink w:anchor="_Toc46106198" w:history="1">
        <w:r w:rsidR="00FE43F2" w:rsidRPr="004F5822">
          <w:rPr>
            <w:rFonts w:eastAsia="Calibri"/>
            <w:noProof/>
            <w:lang w:eastAsia="en-US"/>
          </w:rPr>
          <w:t>1.1.1.1.         Enzimlerin Sınıflandırılması ve Mekanizması</w:t>
        </w:r>
        <w:r w:rsidR="00FE43F2" w:rsidRPr="004F5822">
          <w:rPr>
            <w:rFonts w:eastAsia="Calibri"/>
            <w:noProof/>
            <w:webHidden/>
            <w:lang w:eastAsia="en-US"/>
          </w:rPr>
          <w:tab/>
          <w:t>1</w:t>
        </w:r>
      </w:hyperlink>
    </w:p>
    <w:p w14:paraId="2342AE72" w14:textId="201F4464" w:rsidR="00FE43F2" w:rsidRPr="004F5822" w:rsidRDefault="0009168B" w:rsidP="009F1432">
      <w:pPr>
        <w:widowControl w:val="0"/>
        <w:tabs>
          <w:tab w:val="left" w:pos="442"/>
          <w:tab w:val="right" w:leader="dot" w:pos="8942"/>
        </w:tabs>
        <w:spacing w:after="120" w:line="240" w:lineRule="auto"/>
        <w:ind w:left="426"/>
        <w:rPr>
          <w:rFonts w:eastAsia="Calibri"/>
          <w:noProof/>
          <w:lang w:eastAsia="en-US"/>
        </w:rPr>
      </w:pPr>
      <w:hyperlink w:anchor="_Toc46106199" w:history="1">
        <w:r w:rsidR="00FE43F2" w:rsidRPr="004F5822">
          <w:rPr>
            <w:rFonts w:eastAsia="Calibri"/>
            <w:noProof/>
            <w:lang w:eastAsia="en-US"/>
          </w:rPr>
          <w:t>1.1.1.2.         Enzim İnhibisyonu</w:t>
        </w:r>
        <w:r w:rsidR="00FE43F2" w:rsidRPr="004F5822">
          <w:rPr>
            <w:rFonts w:eastAsia="Calibri"/>
            <w:noProof/>
            <w:webHidden/>
            <w:lang w:eastAsia="en-US"/>
          </w:rPr>
          <w:tab/>
        </w:r>
        <w:r w:rsidR="00006BED">
          <w:rPr>
            <w:rFonts w:eastAsia="Calibri"/>
            <w:noProof/>
            <w:webHidden/>
            <w:lang w:eastAsia="en-US"/>
          </w:rPr>
          <w:t>2</w:t>
        </w:r>
      </w:hyperlink>
    </w:p>
    <w:p w14:paraId="502B10A6" w14:textId="1A08C69B" w:rsidR="00FE43F2" w:rsidRPr="004F5822" w:rsidRDefault="0009168B" w:rsidP="009F1432">
      <w:pPr>
        <w:widowControl w:val="0"/>
        <w:tabs>
          <w:tab w:val="left" w:pos="442"/>
          <w:tab w:val="right" w:leader="dot" w:pos="8942"/>
        </w:tabs>
        <w:spacing w:after="120" w:line="240" w:lineRule="auto"/>
        <w:ind w:left="426"/>
        <w:rPr>
          <w:rFonts w:eastAsia="Calibri"/>
          <w:noProof/>
          <w:lang w:eastAsia="en-US"/>
        </w:rPr>
      </w:pPr>
      <w:hyperlink w:anchor="_Toc46106200" w:history="1">
        <w:r w:rsidR="00FE43F2" w:rsidRPr="004F5822">
          <w:rPr>
            <w:rFonts w:eastAsia="Calibri"/>
            <w:noProof/>
            <w:lang w:eastAsia="en-US"/>
          </w:rPr>
          <w:t>1.1.2.            Kolinesteraz Enzimleri</w:t>
        </w:r>
        <w:r w:rsidR="00FE43F2" w:rsidRPr="004F5822">
          <w:rPr>
            <w:rFonts w:eastAsia="Calibri"/>
            <w:noProof/>
            <w:webHidden/>
            <w:lang w:eastAsia="en-US"/>
          </w:rPr>
          <w:tab/>
        </w:r>
        <w:r w:rsidR="00006BED">
          <w:rPr>
            <w:rFonts w:eastAsia="Calibri"/>
            <w:noProof/>
            <w:webHidden/>
            <w:lang w:eastAsia="en-US"/>
          </w:rPr>
          <w:t>3</w:t>
        </w:r>
      </w:hyperlink>
    </w:p>
    <w:p w14:paraId="1F2A83DA" w14:textId="72D3500A" w:rsidR="00FE43F2" w:rsidRPr="004F5822" w:rsidRDefault="0009168B" w:rsidP="009F1432">
      <w:pPr>
        <w:widowControl w:val="0"/>
        <w:tabs>
          <w:tab w:val="left" w:pos="442"/>
          <w:tab w:val="right" w:leader="dot" w:pos="8942"/>
        </w:tabs>
        <w:spacing w:after="120" w:line="240" w:lineRule="auto"/>
        <w:ind w:left="426"/>
        <w:rPr>
          <w:rFonts w:eastAsia="Calibri"/>
          <w:noProof/>
          <w:lang w:eastAsia="en-US"/>
        </w:rPr>
      </w:pPr>
      <w:hyperlink w:anchor="_Toc46106201" w:history="1">
        <w:r w:rsidR="00FE43F2" w:rsidRPr="004F5822">
          <w:rPr>
            <w:rFonts w:eastAsia="Calibri"/>
            <w:noProof/>
            <w:lang w:eastAsia="en-US"/>
          </w:rPr>
          <w:t>1.1.2.1.         Asetilkolinesteraz Enzimi</w:t>
        </w:r>
        <w:r w:rsidR="00FE43F2" w:rsidRPr="004F5822">
          <w:rPr>
            <w:rFonts w:eastAsia="Calibri"/>
            <w:noProof/>
            <w:webHidden/>
            <w:lang w:eastAsia="en-US"/>
          </w:rPr>
          <w:tab/>
        </w:r>
        <w:r w:rsidR="00006BED">
          <w:rPr>
            <w:rFonts w:eastAsia="Calibri"/>
            <w:noProof/>
            <w:webHidden/>
            <w:lang w:eastAsia="en-US"/>
          </w:rPr>
          <w:t>3</w:t>
        </w:r>
      </w:hyperlink>
    </w:p>
    <w:p w14:paraId="3D1109FA" w14:textId="70367735" w:rsidR="00FE43F2" w:rsidRPr="004F5822" w:rsidRDefault="0009168B" w:rsidP="009F1432">
      <w:pPr>
        <w:widowControl w:val="0"/>
        <w:tabs>
          <w:tab w:val="left" w:pos="442"/>
          <w:tab w:val="right" w:leader="dot" w:pos="8942"/>
        </w:tabs>
        <w:spacing w:after="120" w:line="240" w:lineRule="auto"/>
        <w:ind w:left="426"/>
        <w:rPr>
          <w:rFonts w:eastAsia="Calibri"/>
          <w:noProof/>
          <w:lang w:eastAsia="en-US"/>
        </w:rPr>
      </w:pPr>
      <w:hyperlink w:anchor="_Toc46106202" w:history="1">
        <w:r w:rsidR="00FE43F2" w:rsidRPr="004F5822">
          <w:rPr>
            <w:rFonts w:eastAsia="Calibri"/>
            <w:noProof/>
            <w:lang w:eastAsia="en-US"/>
          </w:rPr>
          <w:t>1.1.2.2.         Bütirilkolinesteraz Enzimi</w:t>
        </w:r>
        <w:r w:rsidR="00FE43F2" w:rsidRPr="004F5822">
          <w:rPr>
            <w:rFonts w:eastAsia="Calibri"/>
            <w:noProof/>
            <w:webHidden/>
            <w:lang w:eastAsia="en-US"/>
          </w:rPr>
          <w:tab/>
        </w:r>
        <w:r w:rsidR="00006BED">
          <w:rPr>
            <w:rFonts w:eastAsia="Calibri"/>
            <w:noProof/>
            <w:webHidden/>
            <w:lang w:eastAsia="en-US"/>
          </w:rPr>
          <w:t>4</w:t>
        </w:r>
      </w:hyperlink>
    </w:p>
    <w:p w14:paraId="51B8961C" w14:textId="409259FB" w:rsidR="00FE43F2" w:rsidRPr="004F5822" w:rsidRDefault="0009168B" w:rsidP="009F1432">
      <w:pPr>
        <w:widowControl w:val="0"/>
        <w:tabs>
          <w:tab w:val="left" w:pos="442"/>
          <w:tab w:val="right" w:leader="dot" w:pos="8942"/>
        </w:tabs>
        <w:spacing w:after="120" w:line="240" w:lineRule="auto"/>
        <w:ind w:left="426"/>
        <w:rPr>
          <w:rFonts w:eastAsia="Calibri"/>
          <w:noProof/>
          <w:lang w:eastAsia="en-US"/>
        </w:rPr>
      </w:pPr>
      <w:hyperlink w:anchor="_Toc46106203" w:history="1">
        <w:r w:rsidR="00FE43F2" w:rsidRPr="004F5822">
          <w:rPr>
            <w:rFonts w:eastAsia="Calibri"/>
            <w:noProof/>
            <w:lang w:eastAsia="en-US"/>
          </w:rPr>
          <w:t>1.1.3.            Kolinesteraz Enzimi ve Alzheimer Hastalığı İlişkisi</w:t>
        </w:r>
        <w:r w:rsidR="00FE43F2" w:rsidRPr="004F5822">
          <w:rPr>
            <w:rFonts w:eastAsia="Calibri"/>
            <w:noProof/>
            <w:webHidden/>
            <w:lang w:eastAsia="en-US"/>
          </w:rPr>
          <w:tab/>
        </w:r>
        <w:r w:rsidR="0087267A">
          <w:rPr>
            <w:rFonts w:eastAsia="Calibri"/>
            <w:noProof/>
            <w:webHidden/>
            <w:lang w:eastAsia="en-US"/>
          </w:rPr>
          <w:t>6</w:t>
        </w:r>
      </w:hyperlink>
    </w:p>
    <w:p w14:paraId="3163854B" w14:textId="1E622299" w:rsidR="00FE43F2" w:rsidRDefault="0009168B" w:rsidP="009F1432">
      <w:pPr>
        <w:widowControl w:val="0"/>
        <w:tabs>
          <w:tab w:val="left" w:pos="442"/>
          <w:tab w:val="right" w:leader="dot" w:pos="8942"/>
        </w:tabs>
        <w:spacing w:after="120" w:line="240" w:lineRule="auto"/>
        <w:ind w:left="426"/>
        <w:rPr>
          <w:rFonts w:eastAsia="Calibri"/>
          <w:noProof/>
          <w:lang w:eastAsia="en-US"/>
        </w:rPr>
      </w:pPr>
      <w:hyperlink w:anchor="_Toc46106204" w:history="1">
        <w:r w:rsidR="00FE43F2" w:rsidRPr="004F5822">
          <w:rPr>
            <w:rFonts w:eastAsia="Calibri"/>
            <w:noProof/>
            <w:lang w:eastAsia="en-US"/>
          </w:rPr>
          <w:t>1.1.4.            Kolinesteraz İnhibitörleri</w:t>
        </w:r>
        <w:r w:rsidR="00FE43F2" w:rsidRPr="004F5822">
          <w:rPr>
            <w:rFonts w:eastAsia="Calibri"/>
            <w:noProof/>
            <w:webHidden/>
            <w:lang w:eastAsia="en-US"/>
          </w:rPr>
          <w:tab/>
        </w:r>
        <w:r w:rsidR="0087267A">
          <w:rPr>
            <w:rFonts w:eastAsia="Calibri"/>
            <w:noProof/>
            <w:webHidden/>
            <w:lang w:eastAsia="en-US"/>
          </w:rPr>
          <w:t>8</w:t>
        </w:r>
      </w:hyperlink>
    </w:p>
    <w:p w14:paraId="125964A4" w14:textId="6E663099" w:rsidR="006B69B1"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197" w:history="1">
        <w:r w:rsidR="006B69B1" w:rsidRPr="004F5822">
          <w:rPr>
            <w:rFonts w:eastAsia="Calibri"/>
            <w:noProof/>
            <w:lang w:eastAsia="en-US"/>
          </w:rPr>
          <w:t>1.1</w:t>
        </w:r>
        <w:r w:rsidR="007D1B0D">
          <w:rPr>
            <w:rFonts w:eastAsia="Calibri"/>
            <w:noProof/>
            <w:lang w:eastAsia="en-US"/>
          </w:rPr>
          <w:t>.</w:t>
        </w:r>
        <w:r w:rsidR="006B69B1">
          <w:rPr>
            <w:rFonts w:eastAsia="Calibri"/>
            <w:noProof/>
            <w:lang w:eastAsia="en-US"/>
          </w:rPr>
          <w:t>5</w:t>
        </w:r>
        <w:r w:rsidR="006B69B1" w:rsidRPr="004F5822">
          <w:rPr>
            <w:rFonts w:eastAsia="Calibri"/>
            <w:noProof/>
            <w:lang w:eastAsia="en-US"/>
          </w:rPr>
          <w:t>.</w:t>
        </w:r>
        <w:r w:rsidR="006B69B1" w:rsidRPr="004F5822">
          <w:rPr>
            <w:rFonts w:eastAsia="Calibri"/>
            <w:noProof/>
            <w:lang w:eastAsia="en-US"/>
          </w:rPr>
          <w:tab/>
          <w:t xml:space="preserve">       </w:t>
        </w:r>
        <w:r w:rsidR="006B69B1">
          <w:rPr>
            <w:rFonts w:eastAsia="Calibri"/>
            <w:noProof/>
            <w:lang w:eastAsia="en-US"/>
          </w:rPr>
          <w:t>Piperidin Yapısı ve Klinik Önemi</w:t>
        </w:r>
        <w:r w:rsidR="006B69B1" w:rsidRPr="004F5822">
          <w:rPr>
            <w:rFonts w:eastAsia="Calibri"/>
            <w:noProof/>
            <w:webHidden/>
            <w:lang w:eastAsia="en-US"/>
          </w:rPr>
          <w:tab/>
        </w:r>
        <w:r w:rsidR="0087267A">
          <w:rPr>
            <w:rFonts w:eastAsia="Calibri"/>
            <w:noProof/>
            <w:webHidden/>
            <w:lang w:eastAsia="en-US"/>
          </w:rPr>
          <w:t>10</w:t>
        </w:r>
      </w:hyperlink>
    </w:p>
    <w:p w14:paraId="463320B1" w14:textId="3CA1734D" w:rsidR="006B69B1" w:rsidRPr="004F5822"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197" w:history="1">
        <w:r w:rsidR="006B69B1">
          <w:rPr>
            <w:rFonts w:eastAsia="Calibri"/>
            <w:noProof/>
            <w:lang w:eastAsia="en-US"/>
          </w:rPr>
          <w:t>1.1.6</w:t>
        </w:r>
        <w:r w:rsidR="006B69B1" w:rsidRPr="004F5822">
          <w:rPr>
            <w:rFonts w:eastAsia="Calibri"/>
            <w:noProof/>
            <w:lang w:eastAsia="en-US"/>
          </w:rPr>
          <w:t>.</w:t>
        </w:r>
        <w:r w:rsidR="006B69B1" w:rsidRPr="004F5822">
          <w:rPr>
            <w:rFonts w:eastAsia="Calibri"/>
            <w:noProof/>
            <w:lang w:eastAsia="en-US"/>
          </w:rPr>
          <w:tab/>
          <w:t xml:space="preserve">       </w:t>
        </w:r>
        <w:r w:rsidR="006B69B1">
          <w:rPr>
            <w:rFonts w:eastAsia="Calibri"/>
            <w:noProof/>
            <w:lang w:eastAsia="en-US"/>
          </w:rPr>
          <w:t>Önceki Çalışmalar</w:t>
        </w:r>
        <w:r w:rsidR="006B69B1" w:rsidRPr="004F5822">
          <w:rPr>
            <w:rFonts w:eastAsia="Calibri"/>
            <w:noProof/>
            <w:webHidden/>
            <w:lang w:eastAsia="en-US"/>
          </w:rPr>
          <w:tab/>
        </w:r>
        <w:r w:rsidR="0087267A">
          <w:rPr>
            <w:rFonts w:eastAsia="Calibri"/>
            <w:noProof/>
            <w:webHidden/>
            <w:lang w:eastAsia="en-US"/>
          </w:rPr>
          <w:t>11</w:t>
        </w:r>
      </w:hyperlink>
    </w:p>
    <w:p w14:paraId="25A288E3" w14:textId="2A3C2C8E" w:rsidR="00FE43F2" w:rsidRPr="004F5822"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208" w:history="1">
        <w:r w:rsidR="00FE43F2" w:rsidRPr="004F5822">
          <w:rPr>
            <w:rFonts w:eastAsia="Calibri"/>
            <w:noProof/>
            <w:lang w:eastAsia="en-US"/>
          </w:rPr>
          <w:t>1.1.7.            Çalışmanın Amacı</w:t>
        </w:r>
        <w:r w:rsidR="00FE43F2" w:rsidRPr="004F5822">
          <w:rPr>
            <w:rFonts w:eastAsia="Calibri"/>
            <w:noProof/>
            <w:webHidden/>
            <w:lang w:eastAsia="en-US"/>
          </w:rPr>
          <w:tab/>
        </w:r>
        <w:r w:rsidR="0087267A">
          <w:rPr>
            <w:rFonts w:eastAsia="Calibri"/>
            <w:noProof/>
            <w:webHidden/>
            <w:lang w:eastAsia="en-US"/>
          </w:rPr>
          <w:t>13</w:t>
        </w:r>
      </w:hyperlink>
    </w:p>
    <w:p w14:paraId="676A2FF9" w14:textId="19477CCF" w:rsidR="00FE43F2" w:rsidRPr="004F5822"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209" w:history="1">
        <w:r w:rsidR="00FE43F2" w:rsidRPr="004F5822">
          <w:rPr>
            <w:rFonts w:eastAsia="Calibri"/>
            <w:noProof/>
            <w:lang w:eastAsia="en-US"/>
          </w:rPr>
          <w:t xml:space="preserve">2.                 </w:t>
        </w:r>
        <w:r w:rsidR="006B69B1">
          <w:rPr>
            <w:rFonts w:eastAsia="Calibri"/>
            <w:noProof/>
            <w:lang w:eastAsia="en-US"/>
          </w:rPr>
          <w:t xml:space="preserve"> </w:t>
        </w:r>
        <w:r w:rsidR="00FE43F2" w:rsidRPr="004F5822">
          <w:rPr>
            <w:rFonts w:eastAsia="Calibri"/>
            <w:noProof/>
            <w:lang w:eastAsia="en-US"/>
          </w:rPr>
          <w:t>YAPILAN ÇALIŞMALAR</w:t>
        </w:r>
        <w:r w:rsidR="00FE43F2" w:rsidRPr="004F5822">
          <w:rPr>
            <w:rFonts w:eastAsia="Calibri"/>
            <w:noProof/>
            <w:webHidden/>
            <w:lang w:eastAsia="en-US"/>
          </w:rPr>
          <w:tab/>
        </w:r>
        <w:r w:rsidR="0087267A">
          <w:rPr>
            <w:rFonts w:eastAsia="Calibri"/>
            <w:noProof/>
            <w:webHidden/>
            <w:lang w:eastAsia="en-US"/>
          </w:rPr>
          <w:t>1</w:t>
        </w:r>
        <w:r w:rsidR="00BB1F9F">
          <w:rPr>
            <w:rFonts w:eastAsia="Calibri"/>
            <w:noProof/>
            <w:webHidden/>
            <w:lang w:eastAsia="en-US"/>
          </w:rPr>
          <w:t>5</w:t>
        </w:r>
      </w:hyperlink>
    </w:p>
    <w:p w14:paraId="6FBF568B" w14:textId="1B2770F8" w:rsidR="00FE43F2"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210" w:history="1">
        <w:r w:rsidR="00FE43F2" w:rsidRPr="004F5822">
          <w:rPr>
            <w:rFonts w:eastAsia="Calibri"/>
            <w:noProof/>
            <w:lang w:eastAsia="en-US"/>
          </w:rPr>
          <w:t>2.1.               Numunelerin Temini</w:t>
        </w:r>
        <w:r w:rsidR="00FE43F2" w:rsidRPr="004F5822">
          <w:rPr>
            <w:rFonts w:eastAsia="Calibri"/>
            <w:noProof/>
            <w:webHidden/>
            <w:lang w:eastAsia="en-US"/>
          </w:rPr>
          <w:tab/>
        </w:r>
        <w:r w:rsidR="0087267A">
          <w:rPr>
            <w:rFonts w:eastAsia="Calibri"/>
            <w:noProof/>
            <w:webHidden/>
            <w:lang w:eastAsia="en-US"/>
          </w:rPr>
          <w:t>1</w:t>
        </w:r>
        <w:r w:rsidR="00BB1F9F">
          <w:rPr>
            <w:rFonts w:eastAsia="Calibri"/>
            <w:noProof/>
            <w:webHidden/>
            <w:lang w:eastAsia="en-US"/>
          </w:rPr>
          <w:t>5</w:t>
        </w:r>
      </w:hyperlink>
    </w:p>
    <w:p w14:paraId="0941C0D7" w14:textId="66B9FD69" w:rsidR="006B69B1"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210" w:history="1">
        <w:r w:rsidR="006B69B1">
          <w:rPr>
            <w:rFonts w:eastAsia="Calibri"/>
            <w:noProof/>
            <w:lang w:eastAsia="en-US"/>
          </w:rPr>
          <w:t>2.2</w:t>
        </w:r>
        <w:r w:rsidR="006B69B1" w:rsidRPr="004F5822">
          <w:rPr>
            <w:rFonts w:eastAsia="Calibri"/>
            <w:noProof/>
            <w:lang w:eastAsia="en-US"/>
          </w:rPr>
          <w:t xml:space="preserve">.               </w:t>
        </w:r>
        <w:r w:rsidR="006B69B1">
          <w:rPr>
            <w:rFonts w:eastAsia="Calibri"/>
            <w:noProof/>
            <w:lang w:eastAsia="en-US"/>
          </w:rPr>
          <w:t>Test Bakterilerinin</w:t>
        </w:r>
        <w:r w:rsidR="006B69B1" w:rsidRPr="004F5822">
          <w:rPr>
            <w:rFonts w:eastAsia="Calibri"/>
            <w:noProof/>
            <w:lang w:eastAsia="en-US"/>
          </w:rPr>
          <w:t xml:space="preserve"> Temini</w:t>
        </w:r>
        <w:r w:rsidR="006B69B1" w:rsidRPr="004F5822">
          <w:rPr>
            <w:rFonts w:eastAsia="Calibri"/>
            <w:noProof/>
            <w:webHidden/>
            <w:lang w:eastAsia="en-US"/>
          </w:rPr>
          <w:tab/>
        </w:r>
        <w:r w:rsidR="0087267A">
          <w:rPr>
            <w:rFonts w:eastAsia="Calibri"/>
            <w:noProof/>
            <w:webHidden/>
            <w:lang w:eastAsia="en-US"/>
          </w:rPr>
          <w:t>1</w:t>
        </w:r>
        <w:r w:rsidR="00BB1F9F">
          <w:rPr>
            <w:rFonts w:eastAsia="Calibri"/>
            <w:noProof/>
            <w:webHidden/>
            <w:lang w:eastAsia="en-US"/>
          </w:rPr>
          <w:t>5</w:t>
        </w:r>
      </w:hyperlink>
    </w:p>
    <w:p w14:paraId="76518111" w14:textId="7091380A" w:rsidR="006B69B1" w:rsidRPr="004F5822"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210" w:history="1">
        <w:r w:rsidR="006B69B1" w:rsidRPr="004F5822">
          <w:rPr>
            <w:rFonts w:eastAsia="Calibri"/>
            <w:noProof/>
            <w:lang w:eastAsia="en-US"/>
          </w:rPr>
          <w:t>2.</w:t>
        </w:r>
        <w:r w:rsidR="006B69B1">
          <w:rPr>
            <w:rFonts w:eastAsia="Calibri"/>
            <w:noProof/>
            <w:lang w:eastAsia="en-US"/>
          </w:rPr>
          <w:t>3</w:t>
        </w:r>
        <w:r w:rsidR="006B69B1" w:rsidRPr="004F5822">
          <w:rPr>
            <w:rFonts w:eastAsia="Calibri"/>
            <w:noProof/>
            <w:lang w:eastAsia="en-US"/>
          </w:rPr>
          <w:t xml:space="preserve">.              </w:t>
        </w:r>
        <w:r w:rsidR="006B69B1">
          <w:rPr>
            <w:rFonts w:eastAsia="Calibri"/>
            <w:noProof/>
            <w:lang w:eastAsia="en-US"/>
          </w:rPr>
          <w:t xml:space="preserve"> Kullanılan Kimyasal Maddeler</w:t>
        </w:r>
        <w:r w:rsidR="006B69B1" w:rsidRPr="004F5822">
          <w:rPr>
            <w:rFonts w:eastAsia="Calibri"/>
            <w:noProof/>
            <w:webHidden/>
            <w:lang w:eastAsia="en-US"/>
          </w:rPr>
          <w:tab/>
        </w:r>
        <w:r w:rsidR="0087267A">
          <w:rPr>
            <w:rFonts w:eastAsia="Calibri"/>
            <w:noProof/>
            <w:webHidden/>
            <w:lang w:eastAsia="en-US"/>
          </w:rPr>
          <w:t>1</w:t>
        </w:r>
        <w:r w:rsidR="00BB1F9F">
          <w:rPr>
            <w:rFonts w:eastAsia="Calibri"/>
            <w:noProof/>
            <w:webHidden/>
            <w:lang w:eastAsia="en-US"/>
          </w:rPr>
          <w:t>6</w:t>
        </w:r>
      </w:hyperlink>
    </w:p>
    <w:p w14:paraId="59E94249" w14:textId="7554CDBF" w:rsidR="00FE43F2"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213" w:history="1">
        <w:r w:rsidR="00FE43F2" w:rsidRPr="004F5822">
          <w:rPr>
            <w:rFonts w:eastAsia="Calibri"/>
            <w:noProof/>
            <w:lang w:eastAsia="en-US"/>
          </w:rPr>
          <w:t>2.4.               Çalışmada Kullanılan Alet ve Cihazlar</w:t>
        </w:r>
        <w:r w:rsidR="00FE43F2" w:rsidRPr="004F5822">
          <w:rPr>
            <w:rFonts w:eastAsia="Calibri"/>
            <w:noProof/>
            <w:webHidden/>
            <w:lang w:eastAsia="en-US"/>
          </w:rPr>
          <w:tab/>
        </w:r>
        <w:r w:rsidR="0087267A">
          <w:rPr>
            <w:rFonts w:eastAsia="Calibri"/>
            <w:noProof/>
            <w:webHidden/>
            <w:lang w:eastAsia="en-US"/>
          </w:rPr>
          <w:t>1</w:t>
        </w:r>
        <w:r w:rsidR="00BB1F9F">
          <w:rPr>
            <w:rFonts w:eastAsia="Calibri"/>
            <w:noProof/>
            <w:webHidden/>
            <w:lang w:eastAsia="en-US"/>
          </w:rPr>
          <w:t>6</w:t>
        </w:r>
      </w:hyperlink>
    </w:p>
    <w:p w14:paraId="2DC12238" w14:textId="0F08A561" w:rsidR="006B69B1" w:rsidRPr="004F5822"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197" w:history="1">
        <w:r w:rsidR="000534AC">
          <w:rPr>
            <w:rFonts w:eastAsia="Calibri"/>
            <w:noProof/>
            <w:lang w:eastAsia="en-US"/>
          </w:rPr>
          <w:t>2</w:t>
        </w:r>
        <w:r w:rsidR="006B69B1">
          <w:rPr>
            <w:rFonts w:eastAsia="Calibri"/>
            <w:noProof/>
            <w:lang w:eastAsia="en-US"/>
          </w:rPr>
          <w:t>.</w:t>
        </w:r>
        <w:r w:rsidR="000534AC">
          <w:rPr>
            <w:rFonts w:eastAsia="Calibri"/>
            <w:noProof/>
            <w:lang w:eastAsia="en-US"/>
          </w:rPr>
          <w:t>5</w:t>
        </w:r>
        <w:r w:rsidR="006B69B1">
          <w:rPr>
            <w:rFonts w:eastAsia="Calibri"/>
            <w:noProof/>
            <w:lang w:eastAsia="en-US"/>
          </w:rPr>
          <w:t>.</w:t>
        </w:r>
        <w:r w:rsidR="006B69B1" w:rsidRPr="004F5822">
          <w:rPr>
            <w:rFonts w:eastAsia="Calibri"/>
            <w:noProof/>
            <w:lang w:eastAsia="en-US"/>
          </w:rPr>
          <w:tab/>
          <w:t xml:space="preserve">       </w:t>
        </w:r>
        <w:r w:rsidR="006B69B1">
          <w:rPr>
            <w:rFonts w:eastAsia="Calibri"/>
            <w:noProof/>
            <w:lang w:eastAsia="en-US"/>
          </w:rPr>
          <w:t>Kullanılan Çözeltiler ve Hazırlanması</w:t>
        </w:r>
        <w:r w:rsidR="006B69B1" w:rsidRPr="004F5822">
          <w:rPr>
            <w:rFonts w:eastAsia="Calibri"/>
            <w:noProof/>
            <w:webHidden/>
            <w:lang w:eastAsia="en-US"/>
          </w:rPr>
          <w:tab/>
        </w:r>
        <w:r w:rsidR="0087267A">
          <w:rPr>
            <w:rFonts w:eastAsia="Calibri"/>
            <w:noProof/>
            <w:webHidden/>
            <w:lang w:eastAsia="en-US"/>
          </w:rPr>
          <w:t>1</w:t>
        </w:r>
        <w:r w:rsidR="00067FDF">
          <w:rPr>
            <w:rFonts w:eastAsia="Calibri"/>
            <w:noProof/>
            <w:webHidden/>
            <w:lang w:eastAsia="en-US"/>
          </w:rPr>
          <w:t>7</w:t>
        </w:r>
      </w:hyperlink>
    </w:p>
    <w:p w14:paraId="186E1FD2" w14:textId="4ADD0826" w:rsidR="000534AC" w:rsidRPr="004F5822"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197" w:history="1">
        <w:r w:rsidR="000534AC">
          <w:rPr>
            <w:rFonts w:eastAsia="Calibri"/>
            <w:noProof/>
            <w:lang w:eastAsia="en-US"/>
          </w:rPr>
          <w:t>2.5.1.</w:t>
        </w:r>
        <w:r w:rsidR="000534AC" w:rsidRPr="004F5822">
          <w:rPr>
            <w:rFonts w:eastAsia="Calibri"/>
            <w:noProof/>
            <w:lang w:eastAsia="en-US"/>
          </w:rPr>
          <w:tab/>
          <w:t xml:space="preserve">       </w:t>
        </w:r>
        <w:r w:rsidR="000534AC">
          <w:rPr>
            <w:rFonts w:eastAsia="Calibri"/>
            <w:noProof/>
            <w:lang w:eastAsia="en-US"/>
          </w:rPr>
          <w:t>Asetilkolinesteraz Enziminin Aktivite Ölçümünde Kullanılan Çözeltiler</w:t>
        </w:r>
        <w:r w:rsidR="000534AC" w:rsidRPr="004F5822">
          <w:rPr>
            <w:rFonts w:eastAsia="Calibri"/>
            <w:noProof/>
            <w:webHidden/>
            <w:lang w:eastAsia="en-US"/>
          </w:rPr>
          <w:tab/>
        </w:r>
        <w:r w:rsidR="0087267A">
          <w:rPr>
            <w:rFonts w:eastAsia="Calibri"/>
            <w:noProof/>
            <w:webHidden/>
            <w:lang w:eastAsia="en-US"/>
          </w:rPr>
          <w:t>1</w:t>
        </w:r>
        <w:r w:rsidR="00067FDF">
          <w:rPr>
            <w:rFonts w:eastAsia="Calibri"/>
            <w:noProof/>
            <w:webHidden/>
            <w:lang w:eastAsia="en-US"/>
          </w:rPr>
          <w:t>7</w:t>
        </w:r>
      </w:hyperlink>
    </w:p>
    <w:p w14:paraId="3BC46220" w14:textId="22FF6FB3" w:rsidR="000534AC"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197" w:history="1">
        <w:r w:rsidR="000534AC">
          <w:rPr>
            <w:rFonts w:eastAsia="Calibri"/>
            <w:noProof/>
            <w:lang w:eastAsia="en-US"/>
          </w:rPr>
          <w:t>2.5.2.</w:t>
        </w:r>
        <w:r w:rsidR="000534AC" w:rsidRPr="004F5822">
          <w:rPr>
            <w:rFonts w:eastAsia="Calibri"/>
            <w:noProof/>
            <w:lang w:eastAsia="en-US"/>
          </w:rPr>
          <w:tab/>
          <w:t xml:space="preserve">       </w:t>
        </w:r>
        <w:r w:rsidR="000534AC">
          <w:rPr>
            <w:rFonts w:eastAsia="Calibri"/>
            <w:noProof/>
            <w:lang w:eastAsia="en-US"/>
          </w:rPr>
          <w:t>Bütirilkolinesteraz Enziminin Aktivite Ölçümünde Kullanılan Çözeltiler</w:t>
        </w:r>
        <w:r w:rsidR="000534AC" w:rsidRPr="004F5822">
          <w:rPr>
            <w:rFonts w:eastAsia="Calibri"/>
            <w:noProof/>
            <w:webHidden/>
            <w:lang w:eastAsia="en-US"/>
          </w:rPr>
          <w:tab/>
        </w:r>
        <w:r w:rsidR="0087267A">
          <w:rPr>
            <w:rFonts w:eastAsia="Calibri"/>
            <w:noProof/>
            <w:webHidden/>
            <w:lang w:eastAsia="en-US"/>
          </w:rPr>
          <w:t>1</w:t>
        </w:r>
        <w:r w:rsidR="00067FDF">
          <w:rPr>
            <w:rFonts w:eastAsia="Calibri"/>
            <w:noProof/>
            <w:webHidden/>
            <w:lang w:eastAsia="en-US"/>
          </w:rPr>
          <w:t>7</w:t>
        </w:r>
      </w:hyperlink>
    </w:p>
    <w:p w14:paraId="0601699A" w14:textId="36C9FC92" w:rsidR="007D1B0D" w:rsidRPr="004F5822" w:rsidRDefault="0009168B" w:rsidP="009F1432">
      <w:pPr>
        <w:widowControl w:val="0"/>
        <w:tabs>
          <w:tab w:val="left" w:pos="442"/>
          <w:tab w:val="right" w:leader="dot" w:pos="8942"/>
        </w:tabs>
        <w:spacing w:after="120" w:line="240" w:lineRule="auto"/>
        <w:ind w:left="1701" w:hanging="1275"/>
        <w:rPr>
          <w:rFonts w:eastAsia="Calibri"/>
          <w:noProof/>
          <w:lang w:eastAsia="en-US"/>
        </w:rPr>
      </w:pPr>
      <w:hyperlink w:anchor="_Toc46106215" w:history="1">
        <w:r w:rsidR="007D1B0D">
          <w:rPr>
            <w:rFonts w:eastAsia="Calibri"/>
            <w:noProof/>
            <w:lang w:eastAsia="en-US"/>
          </w:rPr>
          <w:t>2</w:t>
        </w:r>
        <w:r w:rsidR="007D1B0D" w:rsidRPr="004F5822">
          <w:rPr>
            <w:rFonts w:eastAsia="Calibri"/>
            <w:noProof/>
            <w:lang w:eastAsia="en-US"/>
          </w:rPr>
          <w:t>.</w:t>
        </w:r>
        <w:r w:rsidR="007D1B0D">
          <w:rPr>
            <w:rFonts w:eastAsia="Calibri"/>
            <w:noProof/>
            <w:lang w:eastAsia="en-US"/>
          </w:rPr>
          <w:t>5</w:t>
        </w:r>
        <w:r w:rsidR="007D1B0D" w:rsidRPr="004F5822">
          <w:rPr>
            <w:rFonts w:eastAsia="Calibri"/>
            <w:noProof/>
            <w:lang w:eastAsia="en-US"/>
          </w:rPr>
          <w:t>.</w:t>
        </w:r>
        <w:r w:rsidR="007D1B0D">
          <w:rPr>
            <w:rFonts w:eastAsia="Calibri"/>
            <w:noProof/>
            <w:lang w:eastAsia="en-US"/>
          </w:rPr>
          <w:t>3</w:t>
        </w:r>
        <w:r w:rsidR="007D1B0D" w:rsidRPr="004F5822">
          <w:rPr>
            <w:rFonts w:eastAsia="Calibri"/>
            <w:noProof/>
            <w:lang w:eastAsia="en-US"/>
          </w:rPr>
          <w:t xml:space="preserve">.            </w:t>
        </w:r>
        <w:r w:rsidR="007D1B0D" w:rsidRPr="007D1B0D">
          <w:rPr>
            <w:rFonts w:eastAsia="Calibri"/>
            <w:noProof/>
            <w:lang w:eastAsia="en-US"/>
          </w:rPr>
          <w:t>Antibakteriyel Aktivite Tayininde Kullanılan Besiyeri ve Bakteri     Kültürlerinin Hazırlanması</w:t>
        </w:r>
        <w:r w:rsidR="007D1B0D" w:rsidRPr="004F5822">
          <w:rPr>
            <w:rFonts w:eastAsia="Calibri"/>
            <w:noProof/>
            <w:webHidden/>
            <w:lang w:eastAsia="en-US"/>
          </w:rPr>
          <w:tab/>
        </w:r>
        <w:r w:rsidR="0087267A">
          <w:rPr>
            <w:rFonts w:eastAsia="Calibri"/>
            <w:noProof/>
            <w:webHidden/>
            <w:lang w:eastAsia="en-US"/>
          </w:rPr>
          <w:t>1</w:t>
        </w:r>
        <w:r w:rsidR="00067FDF">
          <w:rPr>
            <w:rFonts w:eastAsia="Calibri"/>
            <w:noProof/>
            <w:webHidden/>
            <w:lang w:eastAsia="en-US"/>
          </w:rPr>
          <w:t>7</w:t>
        </w:r>
      </w:hyperlink>
    </w:p>
    <w:p w14:paraId="594454ED" w14:textId="452AC17F" w:rsidR="000534AC" w:rsidRPr="004F5822"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197" w:history="1">
        <w:r w:rsidR="000534AC">
          <w:rPr>
            <w:rFonts w:eastAsia="Calibri"/>
            <w:noProof/>
            <w:lang w:eastAsia="en-US"/>
          </w:rPr>
          <w:t>2.6.</w:t>
        </w:r>
        <w:r w:rsidR="000534AC" w:rsidRPr="004F5822">
          <w:rPr>
            <w:rFonts w:eastAsia="Calibri"/>
            <w:noProof/>
            <w:lang w:eastAsia="en-US"/>
          </w:rPr>
          <w:tab/>
          <w:t xml:space="preserve">       </w:t>
        </w:r>
        <w:r w:rsidR="000534AC">
          <w:rPr>
            <w:rFonts w:eastAsia="Calibri"/>
            <w:noProof/>
            <w:lang w:eastAsia="en-US"/>
          </w:rPr>
          <w:t>Kolinesteraz Enzim Aktivitesi</w:t>
        </w:r>
        <w:r w:rsidR="00A959BD">
          <w:rPr>
            <w:rFonts w:eastAsia="Calibri"/>
            <w:noProof/>
            <w:lang w:eastAsia="en-US"/>
          </w:rPr>
          <w:t xml:space="preserve"> Tayini</w:t>
        </w:r>
        <w:r w:rsidR="000534AC" w:rsidRPr="004F5822">
          <w:rPr>
            <w:rFonts w:eastAsia="Calibri"/>
            <w:noProof/>
            <w:webHidden/>
            <w:lang w:eastAsia="en-US"/>
          </w:rPr>
          <w:tab/>
        </w:r>
        <w:r w:rsidR="0087267A">
          <w:rPr>
            <w:rFonts w:eastAsia="Calibri"/>
            <w:noProof/>
            <w:webHidden/>
            <w:lang w:eastAsia="en-US"/>
          </w:rPr>
          <w:t>1</w:t>
        </w:r>
        <w:r w:rsidR="00067FDF">
          <w:rPr>
            <w:rFonts w:eastAsia="Calibri"/>
            <w:noProof/>
            <w:webHidden/>
            <w:lang w:eastAsia="en-US"/>
          </w:rPr>
          <w:t>8</w:t>
        </w:r>
      </w:hyperlink>
    </w:p>
    <w:p w14:paraId="3EE5774A" w14:textId="1157F62F" w:rsidR="00FB32E1"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197" w:history="1">
        <w:r w:rsidR="00FB32E1">
          <w:rPr>
            <w:rFonts w:eastAsia="Calibri"/>
            <w:noProof/>
            <w:lang w:eastAsia="en-US"/>
          </w:rPr>
          <w:t>2.6.1.</w:t>
        </w:r>
        <w:r w:rsidR="00FB32E1" w:rsidRPr="004F5822">
          <w:rPr>
            <w:rFonts w:eastAsia="Calibri"/>
            <w:noProof/>
            <w:lang w:eastAsia="en-US"/>
          </w:rPr>
          <w:tab/>
          <w:t xml:space="preserve">       </w:t>
        </w:r>
        <w:r w:rsidR="00FB32E1">
          <w:rPr>
            <w:rFonts w:eastAsia="Calibri"/>
            <w:noProof/>
            <w:lang w:eastAsia="en-US"/>
          </w:rPr>
          <w:t>Asetilkolinesteraz Enzim Aktivitesi</w:t>
        </w:r>
        <w:r w:rsidR="00FB32E1" w:rsidRPr="004F5822">
          <w:rPr>
            <w:rFonts w:eastAsia="Calibri"/>
            <w:noProof/>
            <w:webHidden/>
            <w:lang w:eastAsia="en-US"/>
          </w:rPr>
          <w:tab/>
        </w:r>
        <w:r w:rsidR="0087267A">
          <w:rPr>
            <w:rFonts w:eastAsia="Calibri"/>
            <w:noProof/>
            <w:webHidden/>
            <w:lang w:eastAsia="en-US"/>
          </w:rPr>
          <w:t>1</w:t>
        </w:r>
        <w:r w:rsidR="00067FDF">
          <w:rPr>
            <w:rFonts w:eastAsia="Calibri"/>
            <w:noProof/>
            <w:webHidden/>
            <w:lang w:eastAsia="en-US"/>
          </w:rPr>
          <w:t>8</w:t>
        </w:r>
      </w:hyperlink>
    </w:p>
    <w:p w14:paraId="13463A99" w14:textId="76FF6C9A" w:rsidR="00FB32E1" w:rsidRDefault="0009168B" w:rsidP="009F1432">
      <w:pPr>
        <w:widowControl w:val="0"/>
        <w:tabs>
          <w:tab w:val="left" w:pos="442"/>
          <w:tab w:val="right" w:leader="dot" w:pos="8942"/>
        </w:tabs>
        <w:spacing w:after="120" w:line="240" w:lineRule="auto"/>
        <w:ind w:left="1276" w:hanging="851"/>
        <w:rPr>
          <w:rFonts w:eastAsia="Calibri"/>
          <w:noProof/>
          <w:lang w:eastAsia="en-US"/>
        </w:rPr>
      </w:pPr>
      <w:hyperlink w:anchor="_Toc46106197" w:history="1">
        <w:r w:rsidR="00FB32E1">
          <w:rPr>
            <w:rFonts w:eastAsia="Calibri"/>
            <w:noProof/>
            <w:lang w:eastAsia="en-US"/>
          </w:rPr>
          <w:t>2.6.2.</w:t>
        </w:r>
        <w:r w:rsidR="00FB32E1" w:rsidRPr="004F5822">
          <w:rPr>
            <w:rFonts w:eastAsia="Calibri"/>
            <w:noProof/>
            <w:lang w:eastAsia="en-US"/>
          </w:rPr>
          <w:tab/>
          <w:t xml:space="preserve">       </w:t>
        </w:r>
        <w:r w:rsidR="00FB32E1">
          <w:rPr>
            <w:rFonts w:eastAsia="Calibri"/>
            <w:noProof/>
            <w:lang w:eastAsia="en-US"/>
          </w:rPr>
          <w:t>Bütirilkolinesteraz</w:t>
        </w:r>
        <w:r w:rsidR="0087267A">
          <w:rPr>
            <w:rFonts w:eastAsia="Calibri"/>
            <w:noProof/>
            <w:lang w:eastAsia="en-US"/>
          </w:rPr>
          <w:t xml:space="preserve"> Enzim</w:t>
        </w:r>
        <w:r w:rsidR="00FB32E1">
          <w:rPr>
            <w:rFonts w:eastAsia="Calibri"/>
            <w:noProof/>
            <w:lang w:eastAsia="en-US"/>
          </w:rPr>
          <w:t xml:space="preserve"> Aktivitesi</w:t>
        </w:r>
        <w:r w:rsidR="00FB32E1" w:rsidRPr="004F5822">
          <w:rPr>
            <w:rFonts w:eastAsia="Calibri"/>
            <w:noProof/>
            <w:webHidden/>
            <w:lang w:eastAsia="en-US"/>
          </w:rPr>
          <w:tab/>
        </w:r>
        <w:r w:rsidR="00067FDF">
          <w:rPr>
            <w:rFonts w:eastAsia="Calibri"/>
            <w:noProof/>
            <w:webHidden/>
            <w:lang w:eastAsia="en-US"/>
          </w:rPr>
          <w:t>18</w:t>
        </w:r>
      </w:hyperlink>
    </w:p>
    <w:p w14:paraId="7A161084" w14:textId="63D5BCEF" w:rsidR="00FB32E1" w:rsidRPr="004F5822"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197" w:history="1">
        <w:r w:rsidR="00FB32E1">
          <w:rPr>
            <w:rFonts w:eastAsia="Calibri"/>
            <w:noProof/>
            <w:lang w:eastAsia="en-US"/>
          </w:rPr>
          <w:t>2.7.</w:t>
        </w:r>
        <w:r w:rsidR="00FB32E1" w:rsidRPr="004F5822">
          <w:rPr>
            <w:rFonts w:eastAsia="Calibri"/>
            <w:noProof/>
            <w:lang w:eastAsia="en-US"/>
          </w:rPr>
          <w:tab/>
          <w:t xml:space="preserve">       </w:t>
        </w:r>
        <w:r w:rsidR="00FB32E1">
          <w:rPr>
            <w:rFonts w:eastAsia="Calibri"/>
            <w:noProof/>
            <w:lang w:eastAsia="en-US"/>
          </w:rPr>
          <w:t>Kolinesteraz Enzimleri Üzerinde Yapılan Kinetik Çalışmalar</w:t>
        </w:r>
        <w:r w:rsidR="00FB32E1" w:rsidRPr="004F5822">
          <w:rPr>
            <w:rFonts w:eastAsia="Calibri"/>
            <w:noProof/>
            <w:webHidden/>
            <w:lang w:eastAsia="en-US"/>
          </w:rPr>
          <w:tab/>
        </w:r>
        <w:r w:rsidR="00067FDF">
          <w:rPr>
            <w:rFonts w:eastAsia="Calibri"/>
            <w:noProof/>
            <w:webHidden/>
            <w:lang w:eastAsia="en-US"/>
          </w:rPr>
          <w:t>19</w:t>
        </w:r>
      </w:hyperlink>
    </w:p>
    <w:p w14:paraId="31973752" w14:textId="2ACEA559" w:rsidR="00FB32E1"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197" w:history="1">
        <w:r w:rsidR="00FB32E1">
          <w:rPr>
            <w:rFonts w:eastAsia="Calibri"/>
            <w:noProof/>
            <w:lang w:eastAsia="en-US"/>
          </w:rPr>
          <w:t>2.7.1.</w:t>
        </w:r>
        <w:r w:rsidR="00FB32E1" w:rsidRPr="004F5822">
          <w:rPr>
            <w:rFonts w:eastAsia="Calibri"/>
            <w:noProof/>
            <w:lang w:eastAsia="en-US"/>
          </w:rPr>
          <w:tab/>
          <w:t xml:space="preserve">       </w:t>
        </w:r>
        <w:r w:rsidR="00FB32E1">
          <w:rPr>
            <w:rFonts w:eastAsia="Calibri"/>
            <w:noProof/>
            <w:lang w:eastAsia="en-US"/>
          </w:rPr>
          <w:t>IC</w:t>
        </w:r>
        <w:r w:rsidR="00FB32E1" w:rsidRPr="00FB32E1">
          <w:rPr>
            <w:rFonts w:eastAsia="Calibri"/>
            <w:noProof/>
            <w:vertAlign w:val="subscript"/>
            <w:lang w:eastAsia="en-US"/>
          </w:rPr>
          <w:t>50</w:t>
        </w:r>
        <w:r w:rsidR="00FB32E1">
          <w:rPr>
            <w:rFonts w:eastAsia="Calibri"/>
            <w:noProof/>
            <w:lang w:eastAsia="en-US"/>
          </w:rPr>
          <w:t xml:space="preserve"> Değerlerinin Bulunması ile İlgili Çalışmalar</w:t>
        </w:r>
        <w:r w:rsidR="00FB32E1" w:rsidRPr="004F5822">
          <w:rPr>
            <w:rFonts w:eastAsia="Calibri"/>
            <w:noProof/>
            <w:webHidden/>
            <w:lang w:eastAsia="en-US"/>
          </w:rPr>
          <w:tab/>
        </w:r>
        <w:r w:rsidR="00067FDF">
          <w:rPr>
            <w:rFonts w:eastAsia="Calibri"/>
            <w:noProof/>
            <w:webHidden/>
            <w:lang w:eastAsia="en-US"/>
          </w:rPr>
          <w:t>19</w:t>
        </w:r>
      </w:hyperlink>
    </w:p>
    <w:p w14:paraId="45F02178" w14:textId="3A6A8440" w:rsidR="007D1B0D" w:rsidRPr="004F5822" w:rsidRDefault="0009168B" w:rsidP="009F1432">
      <w:pPr>
        <w:widowControl w:val="0"/>
        <w:tabs>
          <w:tab w:val="left" w:pos="442"/>
          <w:tab w:val="right" w:leader="dot" w:pos="8942"/>
        </w:tabs>
        <w:spacing w:after="120" w:line="240" w:lineRule="auto"/>
        <w:ind w:left="1701" w:hanging="1275"/>
        <w:rPr>
          <w:rFonts w:eastAsia="Calibri"/>
          <w:noProof/>
          <w:lang w:eastAsia="en-US"/>
        </w:rPr>
      </w:pPr>
      <w:hyperlink w:anchor="_Toc46106215" w:history="1">
        <w:r w:rsidR="007D1B0D">
          <w:rPr>
            <w:rFonts w:eastAsia="Calibri"/>
            <w:noProof/>
            <w:lang w:eastAsia="en-US"/>
          </w:rPr>
          <w:t>2</w:t>
        </w:r>
        <w:r w:rsidR="007D1B0D" w:rsidRPr="004F5822">
          <w:rPr>
            <w:rFonts w:eastAsia="Calibri"/>
            <w:noProof/>
            <w:lang w:eastAsia="en-US"/>
          </w:rPr>
          <w:t>.</w:t>
        </w:r>
        <w:r w:rsidR="007D1B0D">
          <w:rPr>
            <w:rFonts w:eastAsia="Calibri"/>
            <w:noProof/>
            <w:lang w:eastAsia="en-US"/>
          </w:rPr>
          <w:t>7</w:t>
        </w:r>
        <w:r w:rsidR="007D1B0D" w:rsidRPr="004F5822">
          <w:rPr>
            <w:rFonts w:eastAsia="Calibri"/>
            <w:noProof/>
            <w:lang w:eastAsia="en-US"/>
          </w:rPr>
          <w:t xml:space="preserve">.2.            </w:t>
        </w:r>
        <w:r w:rsidR="00915B77">
          <w:rPr>
            <w:rFonts w:eastAsia="Calibri"/>
            <w:noProof/>
            <w:lang w:eastAsia="en-US"/>
          </w:rPr>
          <w:t>K</w:t>
        </w:r>
        <w:r w:rsidR="00915B77" w:rsidRPr="00915B77">
          <w:rPr>
            <w:rFonts w:eastAsia="Calibri"/>
            <w:noProof/>
            <w:vertAlign w:val="subscript"/>
            <w:lang w:eastAsia="en-US"/>
          </w:rPr>
          <w:t>i</w:t>
        </w:r>
        <w:r w:rsidR="00915B77">
          <w:rPr>
            <w:rFonts w:eastAsia="Calibri"/>
            <w:noProof/>
            <w:lang w:eastAsia="en-US"/>
          </w:rPr>
          <w:t xml:space="preserve"> D</w:t>
        </w:r>
        <w:r w:rsidR="007D1B0D" w:rsidRPr="007D1B0D">
          <w:rPr>
            <w:rFonts w:eastAsia="Calibri"/>
            <w:noProof/>
            <w:lang w:eastAsia="en-US"/>
          </w:rPr>
          <w:t xml:space="preserve">eğerlerinin Bulunması ve İnhibisyon Türünün Belirlenmesi ile </w:t>
        </w:r>
        <w:r w:rsidR="00915B77">
          <w:rPr>
            <w:rFonts w:eastAsia="Calibri"/>
            <w:noProof/>
            <w:lang w:eastAsia="en-US"/>
          </w:rPr>
          <w:t>İ</w:t>
        </w:r>
        <w:r w:rsidR="007D1B0D" w:rsidRPr="007D1B0D">
          <w:rPr>
            <w:rFonts w:eastAsia="Calibri"/>
            <w:noProof/>
            <w:lang w:eastAsia="en-US"/>
          </w:rPr>
          <w:t>lgili Çalışmalar</w:t>
        </w:r>
        <w:r w:rsidR="007D1B0D" w:rsidRPr="004F5822">
          <w:rPr>
            <w:rFonts w:eastAsia="Calibri"/>
            <w:noProof/>
            <w:webHidden/>
            <w:lang w:eastAsia="en-US"/>
          </w:rPr>
          <w:tab/>
        </w:r>
        <w:r w:rsidR="00724D9F">
          <w:rPr>
            <w:rFonts w:eastAsia="Calibri"/>
            <w:noProof/>
            <w:webHidden/>
            <w:lang w:eastAsia="en-US"/>
          </w:rPr>
          <w:t>20</w:t>
        </w:r>
      </w:hyperlink>
    </w:p>
    <w:p w14:paraId="01B0ADB9" w14:textId="11AE8E7A" w:rsidR="00FB32E1" w:rsidRPr="004F5822"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197" w:history="1">
        <w:r w:rsidR="00FB32E1">
          <w:rPr>
            <w:rFonts w:eastAsia="Calibri"/>
            <w:noProof/>
            <w:lang w:eastAsia="en-US"/>
          </w:rPr>
          <w:t>2.8.</w:t>
        </w:r>
        <w:r w:rsidR="00FB32E1" w:rsidRPr="004F5822">
          <w:rPr>
            <w:rFonts w:eastAsia="Calibri"/>
            <w:noProof/>
            <w:lang w:eastAsia="en-US"/>
          </w:rPr>
          <w:tab/>
          <w:t xml:space="preserve">       </w:t>
        </w:r>
        <w:r w:rsidR="00FB32E1">
          <w:rPr>
            <w:rFonts w:eastAsia="Calibri"/>
            <w:noProof/>
            <w:lang w:eastAsia="en-US"/>
          </w:rPr>
          <w:t>Antibakteriyel Aktivite Tayin Yöntemi</w:t>
        </w:r>
        <w:r w:rsidR="00FB32E1" w:rsidRPr="004F5822">
          <w:rPr>
            <w:rFonts w:eastAsia="Calibri"/>
            <w:noProof/>
            <w:webHidden/>
            <w:lang w:eastAsia="en-US"/>
          </w:rPr>
          <w:tab/>
        </w:r>
        <w:r w:rsidR="00915B77">
          <w:rPr>
            <w:rFonts w:eastAsia="Calibri"/>
            <w:noProof/>
            <w:webHidden/>
            <w:lang w:eastAsia="en-US"/>
          </w:rPr>
          <w:t>2</w:t>
        </w:r>
        <w:r w:rsidR="00067FDF">
          <w:rPr>
            <w:rFonts w:eastAsia="Calibri"/>
            <w:noProof/>
            <w:webHidden/>
            <w:lang w:eastAsia="en-US"/>
          </w:rPr>
          <w:t>0</w:t>
        </w:r>
      </w:hyperlink>
    </w:p>
    <w:p w14:paraId="670841BE" w14:textId="420DAB38" w:rsidR="00FB32E1" w:rsidRPr="004F5822"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197" w:history="1">
        <w:r w:rsidR="00FB32E1">
          <w:rPr>
            <w:rFonts w:eastAsia="Calibri"/>
            <w:noProof/>
            <w:lang w:eastAsia="en-US"/>
          </w:rPr>
          <w:t>2.8.1.</w:t>
        </w:r>
        <w:r w:rsidR="00FB32E1" w:rsidRPr="004F5822">
          <w:rPr>
            <w:rFonts w:eastAsia="Calibri"/>
            <w:noProof/>
            <w:lang w:eastAsia="en-US"/>
          </w:rPr>
          <w:tab/>
          <w:t xml:space="preserve">       </w:t>
        </w:r>
        <w:r w:rsidR="00FB32E1">
          <w:rPr>
            <w:rFonts w:eastAsia="Calibri"/>
            <w:noProof/>
            <w:lang w:eastAsia="en-US"/>
          </w:rPr>
          <w:t>Disk Difüzyon Yöntemi</w:t>
        </w:r>
        <w:r w:rsidR="00FB32E1" w:rsidRPr="004F5822">
          <w:rPr>
            <w:rFonts w:eastAsia="Calibri"/>
            <w:noProof/>
            <w:webHidden/>
            <w:lang w:eastAsia="en-US"/>
          </w:rPr>
          <w:tab/>
        </w:r>
        <w:r w:rsidR="00915B77">
          <w:rPr>
            <w:rFonts w:eastAsia="Calibri"/>
            <w:noProof/>
            <w:webHidden/>
            <w:lang w:eastAsia="en-US"/>
          </w:rPr>
          <w:t>2</w:t>
        </w:r>
        <w:r w:rsidR="00067FDF">
          <w:rPr>
            <w:rFonts w:eastAsia="Calibri"/>
            <w:noProof/>
            <w:webHidden/>
            <w:lang w:eastAsia="en-US"/>
          </w:rPr>
          <w:t>0</w:t>
        </w:r>
      </w:hyperlink>
    </w:p>
    <w:p w14:paraId="587B5DCF" w14:textId="241BCD2D" w:rsidR="00FE43F2" w:rsidRPr="004F5822" w:rsidRDefault="0009168B" w:rsidP="009F1432">
      <w:pPr>
        <w:widowControl w:val="0"/>
        <w:tabs>
          <w:tab w:val="left" w:pos="442"/>
          <w:tab w:val="left" w:pos="1418"/>
          <w:tab w:val="left" w:pos="1701"/>
          <w:tab w:val="right" w:leader="dot" w:pos="8942"/>
        </w:tabs>
        <w:spacing w:after="120" w:line="240" w:lineRule="auto"/>
        <w:ind w:left="1701" w:hanging="1275"/>
        <w:rPr>
          <w:rFonts w:eastAsia="Calibri"/>
          <w:noProof/>
          <w:lang w:eastAsia="en-US"/>
        </w:rPr>
      </w:pPr>
      <w:hyperlink w:anchor="_Toc46106216" w:history="1">
        <w:r w:rsidR="00FE43F2" w:rsidRPr="004F5822">
          <w:rPr>
            <w:rFonts w:eastAsia="Calibri"/>
            <w:noProof/>
            <w:lang w:eastAsia="en-US"/>
          </w:rPr>
          <w:t>3.                  BULGULAR</w:t>
        </w:r>
        <w:r w:rsidR="00FE43F2" w:rsidRPr="004F5822">
          <w:rPr>
            <w:rFonts w:eastAsia="Calibri"/>
            <w:noProof/>
            <w:webHidden/>
            <w:lang w:eastAsia="en-US"/>
          </w:rPr>
          <w:tab/>
        </w:r>
        <w:r w:rsidR="00915B77">
          <w:rPr>
            <w:rFonts w:eastAsia="Calibri"/>
            <w:noProof/>
            <w:webHidden/>
            <w:lang w:eastAsia="en-US"/>
          </w:rPr>
          <w:t>2</w:t>
        </w:r>
        <w:r w:rsidR="00067FDF">
          <w:rPr>
            <w:rFonts w:eastAsia="Calibri"/>
            <w:noProof/>
            <w:webHidden/>
            <w:lang w:eastAsia="en-US"/>
          </w:rPr>
          <w:t>1</w:t>
        </w:r>
      </w:hyperlink>
    </w:p>
    <w:p w14:paraId="0FCAA857" w14:textId="2A824C0C" w:rsidR="00FE43F2" w:rsidRDefault="0009168B" w:rsidP="009F1432">
      <w:pPr>
        <w:widowControl w:val="0"/>
        <w:tabs>
          <w:tab w:val="left" w:pos="442"/>
          <w:tab w:val="right" w:leader="dot" w:pos="8942"/>
        </w:tabs>
        <w:spacing w:after="120" w:line="240" w:lineRule="auto"/>
        <w:ind w:left="1276" w:hanging="850"/>
        <w:rPr>
          <w:rFonts w:eastAsia="Calibri"/>
          <w:noProof/>
          <w:lang w:eastAsia="en-US"/>
        </w:rPr>
      </w:pPr>
      <w:hyperlink w:anchor="_Toc46106217" w:history="1">
        <w:r w:rsidR="00FE43F2" w:rsidRPr="004F5822">
          <w:rPr>
            <w:rFonts w:eastAsia="Calibri"/>
            <w:noProof/>
            <w:lang w:eastAsia="en-US"/>
          </w:rPr>
          <w:t>3.1.               Kolinesteraz Enzimleri Üzerinde Yapılan Kinetik Çalışma Sonuçları</w:t>
        </w:r>
        <w:r w:rsidR="00FE43F2" w:rsidRPr="004F5822">
          <w:rPr>
            <w:rFonts w:eastAsia="Calibri"/>
            <w:noProof/>
            <w:webHidden/>
            <w:lang w:eastAsia="en-US"/>
          </w:rPr>
          <w:tab/>
        </w:r>
        <w:r w:rsidR="00915B77">
          <w:rPr>
            <w:rFonts w:eastAsia="Calibri"/>
            <w:noProof/>
            <w:webHidden/>
            <w:lang w:eastAsia="en-US"/>
          </w:rPr>
          <w:t>2</w:t>
        </w:r>
        <w:r w:rsidR="00067FDF">
          <w:rPr>
            <w:rFonts w:eastAsia="Calibri"/>
            <w:noProof/>
            <w:webHidden/>
            <w:lang w:eastAsia="en-US"/>
          </w:rPr>
          <w:t>1</w:t>
        </w:r>
      </w:hyperlink>
    </w:p>
    <w:p w14:paraId="628E9457" w14:textId="5DCE65BD" w:rsidR="007D1B0D" w:rsidRDefault="0009168B" w:rsidP="009F1432">
      <w:pPr>
        <w:widowControl w:val="0"/>
        <w:tabs>
          <w:tab w:val="left" w:pos="442"/>
          <w:tab w:val="right" w:leader="dot" w:pos="8942"/>
        </w:tabs>
        <w:spacing w:after="120" w:line="240" w:lineRule="auto"/>
        <w:ind w:left="1701" w:hanging="1275"/>
        <w:rPr>
          <w:rFonts w:eastAsia="Calibri"/>
          <w:noProof/>
          <w:lang w:eastAsia="en-US"/>
        </w:rPr>
      </w:pPr>
      <w:hyperlink w:anchor="_Toc46106215" w:history="1">
        <w:r w:rsidR="007D1B0D" w:rsidRPr="004F5822">
          <w:rPr>
            <w:rFonts w:eastAsia="Calibri"/>
            <w:noProof/>
            <w:lang w:eastAsia="en-US"/>
          </w:rPr>
          <w:t>3</w:t>
        </w:r>
        <w:r w:rsidR="007D1B0D">
          <w:rPr>
            <w:rFonts w:eastAsia="Calibri"/>
            <w:noProof/>
            <w:lang w:eastAsia="en-US"/>
          </w:rPr>
          <w:t>.1.1</w:t>
        </w:r>
        <w:r w:rsidR="007D1B0D" w:rsidRPr="004F5822">
          <w:rPr>
            <w:rFonts w:eastAsia="Calibri"/>
            <w:noProof/>
            <w:lang w:eastAsia="en-US"/>
          </w:rPr>
          <w:t xml:space="preserve">.            </w:t>
        </w:r>
        <w:r w:rsidR="007D1B0D">
          <w:rPr>
            <w:rFonts w:eastAsia="Calibri"/>
            <w:noProof/>
            <w:lang w:eastAsia="en-US"/>
          </w:rPr>
          <w:t>Asetil</w:t>
        </w:r>
        <w:r w:rsidR="007D1B0D" w:rsidRPr="004F5822">
          <w:rPr>
            <w:rFonts w:eastAsia="Calibri"/>
            <w:noProof/>
            <w:lang w:eastAsia="en-US"/>
          </w:rPr>
          <w:t>kolinesteraz Enzimi Üzerinde İnhibisyon Etkisi Gösteren Piperidin Türevi Maddeler ile İlgili Sonuçlar</w:t>
        </w:r>
        <w:r w:rsidR="007D1B0D" w:rsidRPr="004F5822">
          <w:rPr>
            <w:rFonts w:eastAsia="Calibri"/>
            <w:noProof/>
            <w:webHidden/>
            <w:lang w:eastAsia="en-US"/>
          </w:rPr>
          <w:tab/>
        </w:r>
        <w:r w:rsidR="00915B77">
          <w:rPr>
            <w:rFonts w:eastAsia="Calibri"/>
            <w:noProof/>
            <w:webHidden/>
            <w:lang w:eastAsia="en-US"/>
          </w:rPr>
          <w:t>2</w:t>
        </w:r>
        <w:r w:rsidR="00067FDF">
          <w:rPr>
            <w:rFonts w:eastAsia="Calibri"/>
            <w:noProof/>
            <w:webHidden/>
            <w:lang w:eastAsia="en-US"/>
          </w:rPr>
          <w:t>1</w:t>
        </w:r>
      </w:hyperlink>
    </w:p>
    <w:p w14:paraId="2491864A" w14:textId="79431570" w:rsidR="00FE43F2" w:rsidRPr="004F5822" w:rsidRDefault="0009168B" w:rsidP="009F1432">
      <w:pPr>
        <w:widowControl w:val="0"/>
        <w:tabs>
          <w:tab w:val="left" w:pos="442"/>
          <w:tab w:val="right" w:leader="dot" w:pos="8942"/>
        </w:tabs>
        <w:spacing w:after="120" w:line="240" w:lineRule="auto"/>
        <w:ind w:left="1701" w:hanging="1275"/>
        <w:rPr>
          <w:rFonts w:eastAsia="Calibri"/>
          <w:noProof/>
          <w:lang w:eastAsia="en-US"/>
        </w:rPr>
      </w:pPr>
      <w:hyperlink w:anchor="_Toc46106215" w:history="1">
        <w:r w:rsidR="00FE43F2" w:rsidRPr="004F5822">
          <w:rPr>
            <w:rFonts w:eastAsia="Calibri"/>
            <w:noProof/>
            <w:lang w:eastAsia="en-US"/>
          </w:rPr>
          <w:t>3.1.2.            Bütirilkolinesteraz Enzimi Üzerinde İnhibisyon Etkisi Gösteren Piperidin Türevi Maddeler ile İlgili Sonuçlar</w:t>
        </w:r>
        <w:r w:rsidR="00FE43F2" w:rsidRPr="004F5822">
          <w:rPr>
            <w:rFonts w:eastAsia="Calibri"/>
            <w:noProof/>
            <w:webHidden/>
            <w:lang w:eastAsia="en-US"/>
          </w:rPr>
          <w:tab/>
        </w:r>
        <w:r w:rsidR="00915B77">
          <w:rPr>
            <w:rFonts w:eastAsia="Calibri"/>
            <w:noProof/>
            <w:webHidden/>
            <w:lang w:eastAsia="en-US"/>
          </w:rPr>
          <w:t>2</w:t>
        </w:r>
        <w:r w:rsidR="00067FDF">
          <w:rPr>
            <w:rFonts w:eastAsia="Calibri"/>
            <w:noProof/>
            <w:webHidden/>
            <w:lang w:eastAsia="en-US"/>
          </w:rPr>
          <w:t>4</w:t>
        </w:r>
      </w:hyperlink>
    </w:p>
    <w:p w14:paraId="7DD994AE" w14:textId="47560794" w:rsidR="00FE43F2" w:rsidRPr="004F5822" w:rsidRDefault="0009168B" w:rsidP="009F1432">
      <w:pPr>
        <w:widowControl w:val="0"/>
        <w:tabs>
          <w:tab w:val="left" w:pos="442"/>
          <w:tab w:val="right" w:leader="dot" w:pos="8942"/>
        </w:tabs>
        <w:spacing w:after="120" w:line="240" w:lineRule="auto"/>
        <w:ind w:left="1701" w:hanging="1275"/>
        <w:rPr>
          <w:rFonts w:eastAsia="Calibri"/>
          <w:noProof/>
          <w:lang w:eastAsia="en-US"/>
        </w:rPr>
      </w:pPr>
      <w:hyperlink w:anchor="_Toc46106215" w:history="1">
        <w:r w:rsidR="00FE43F2" w:rsidRPr="004F5822">
          <w:rPr>
            <w:rFonts w:eastAsia="Calibri"/>
            <w:noProof/>
            <w:lang w:eastAsia="en-US"/>
          </w:rPr>
          <w:t>3.1.3.            Asetilkolinesteraz Enzimi Üzerinde İnhibisyon Etkisi Gösteren Donepezil ile İlgili Sonuçlar</w:t>
        </w:r>
        <w:r w:rsidR="00FE43F2" w:rsidRPr="004F5822">
          <w:rPr>
            <w:rFonts w:eastAsia="Calibri"/>
            <w:noProof/>
            <w:webHidden/>
            <w:lang w:eastAsia="en-US"/>
          </w:rPr>
          <w:t>.</w:t>
        </w:r>
        <w:r w:rsidR="00FE43F2" w:rsidRPr="004F5822">
          <w:rPr>
            <w:rFonts w:eastAsia="Calibri"/>
            <w:noProof/>
            <w:webHidden/>
            <w:lang w:eastAsia="en-US"/>
          </w:rPr>
          <w:tab/>
        </w:r>
        <w:r w:rsidR="00915B77">
          <w:rPr>
            <w:rFonts w:eastAsia="Calibri"/>
            <w:noProof/>
            <w:webHidden/>
            <w:lang w:eastAsia="en-US"/>
          </w:rPr>
          <w:t>2</w:t>
        </w:r>
        <w:r w:rsidR="00067FDF">
          <w:rPr>
            <w:rFonts w:eastAsia="Calibri"/>
            <w:noProof/>
            <w:webHidden/>
            <w:lang w:eastAsia="en-US"/>
          </w:rPr>
          <w:t>7</w:t>
        </w:r>
      </w:hyperlink>
    </w:p>
    <w:p w14:paraId="1F29C236" w14:textId="0F5EA755" w:rsidR="00FE43F2" w:rsidRPr="004F5822" w:rsidRDefault="0009168B" w:rsidP="009F1432">
      <w:pPr>
        <w:widowControl w:val="0"/>
        <w:tabs>
          <w:tab w:val="right" w:leader="dot" w:pos="8942"/>
        </w:tabs>
        <w:spacing w:after="120" w:line="240" w:lineRule="auto"/>
        <w:ind w:left="426"/>
        <w:rPr>
          <w:rFonts w:eastAsia="Calibri"/>
          <w:noProof/>
          <w:lang w:eastAsia="en-US"/>
        </w:rPr>
      </w:pPr>
      <w:hyperlink w:anchor="_Toc46106219" w:history="1">
        <w:r w:rsidR="00FE43F2" w:rsidRPr="004F5822">
          <w:rPr>
            <w:rFonts w:eastAsia="Calibri"/>
            <w:noProof/>
            <w:lang w:eastAsia="en-US"/>
          </w:rPr>
          <w:t>3.2.              Antibakteriyel Aktivite Sonuçları</w:t>
        </w:r>
        <w:r w:rsidR="00FE43F2" w:rsidRPr="004F5822">
          <w:rPr>
            <w:rFonts w:eastAsia="Calibri"/>
            <w:noProof/>
            <w:webHidden/>
            <w:lang w:eastAsia="en-US"/>
          </w:rPr>
          <w:tab/>
        </w:r>
        <w:r w:rsidR="00915B77">
          <w:rPr>
            <w:rFonts w:eastAsia="Calibri"/>
            <w:noProof/>
            <w:webHidden/>
            <w:lang w:eastAsia="en-US"/>
          </w:rPr>
          <w:t>2</w:t>
        </w:r>
        <w:r w:rsidR="00014F1A">
          <w:rPr>
            <w:rFonts w:eastAsia="Calibri"/>
            <w:noProof/>
            <w:webHidden/>
            <w:lang w:eastAsia="en-US"/>
          </w:rPr>
          <w:t>8</w:t>
        </w:r>
      </w:hyperlink>
    </w:p>
    <w:p w14:paraId="200C53C8" w14:textId="480407AB" w:rsidR="00FE43F2" w:rsidRPr="004F5822" w:rsidRDefault="0009168B" w:rsidP="009F1432">
      <w:pPr>
        <w:widowControl w:val="0"/>
        <w:tabs>
          <w:tab w:val="left" w:pos="442"/>
          <w:tab w:val="right" w:leader="dot" w:pos="8942"/>
        </w:tabs>
        <w:spacing w:after="120" w:line="240" w:lineRule="auto"/>
        <w:ind w:left="426"/>
        <w:rPr>
          <w:rFonts w:eastAsia="Calibri"/>
          <w:noProof/>
          <w:lang w:eastAsia="en-US"/>
        </w:rPr>
      </w:pPr>
      <w:hyperlink w:anchor="_Toc46106235" w:history="1">
        <w:r w:rsidR="00FE43F2" w:rsidRPr="004F5822">
          <w:rPr>
            <w:rFonts w:eastAsia="Calibri"/>
            <w:noProof/>
            <w:lang w:eastAsia="en-US"/>
          </w:rPr>
          <w:t>4.                  TARTIŞMA</w:t>
        </w:r>
        <w:r w:rsidR="00FE43F2" w:rsidRPr="004F5822">
          <w:rPr>
            <w:rFonts w:eastAsia="Calibri"/>
            <w:noProof/>
            <w:webHidden/>
            <w:lang w:eastAsia="en-US"/>
          </w:rPr>
          <w:tab/>
        </w:r>
        <w:r w:rsidR="00915B77">
          <w:rPr>
            <w:rFonts w:eastAsia="Calibri"/>
            <w:noProof/>
            <w:webHidden/>
            <w:lang w:eastAsia="en-US"/>
          </w:rPr>
          <w:t>3</w:t>
        </w:r>
        <w:r w:rsidR="00014F1A">
          <w:rPr>
            <w:rFonts w:eastAsia="Calibri"/>
            <w:noProof/>
            <w:webHidden/>
            <w:lang w:eastAsia="en-US"/>
          </w:rPr>
          <w:t>4</w:t>
        </w:r>
      </w:hyperlink>
    </w:p>
    <w:p w14:paraId="13F6E20C" w14:textId="31C1479B" w:rsidR="00FE43F2" w:rsidRPr="004F5822" w:rsidRDefault="0009168B" w:rsidP="009F1432">
      <w:pPr>
        <w:widowControl w:val="0"/>
        <w:tabs>
          <w:tab w:val="left" w:pos="442"/>
          <w:tab w:val="right" w:leader="dot" w:pos="8942"/>
        </w:tabs>
        <w:spacing w:after="120" w:line="240" w:lineRule="auto"/>
        <w:ind w:left="426"/>
        <w:rPr>
          <w:rFonts w:eastAsia="Calibri"/>
          <w:noProof/>
          <w:lang w:eastAsia="en-US"/>
        </w:rPr>
      </w:pPr>
      <w:hyperlink w:anchor="_Toc46106236" w:history="1">
        <w:r w:rsidR="00FE43F2" w:rsidRPr="004F5822">
          <w:rPr>
            <w:rFonts w:eastAsia="Calibri"/>
            <w:noProof/>
            <w:lang w:eastAsia="en-US"/>
          </w:rPr>
          <w:t>5.                  SONUÇ ve ÖNERİLER</w:t>
        </w:r>
        <w:r w:rsidR="00FE43F2" w:rsidRPr="004F5822">
          <w:rPr>
            <w:rFonts w:eastAsia="Calibri"/>
            <w:noProof/>
            <w:webHidden/>
            <w:lang w:eastAsia="en-US"/>
          </w:rPr>
          <w:tab/>
        </w:r>
        <w:r w:rsidR="00915B77">
          <w:rPr>
            <w:rFonts w:eastAsia="Calibri"/>
            <w:noProof/>
            <w:webHidden/>
            <w:lang w:eastAsia="en-US"/>
          </w:rPr>
          <w:t>4</w:t>
        </w:r>
        <w:r w:rsidR="00014F1A">
          <w:rPr>
            <w:rFonts w:eastAsia="Calibri"/>
            <w:noProof/>
            <w:webHidden/>
            <w:lang w:eastAsia="en-US"/>
          </w:rPr>
          <w:t>5</w:t>
        </w:r>
      </w:hyperlink>
    </w:p>
    <w:p w14:paraId="014A974B" w14:textId="097792D7" w:rsidR="00FE43F2" w:rsidRPr="004F5822" w:rsidRDefault="0009168B" w:rsidP="009F1432">
      <w:pPr>
        <w:widowControl w:val="0"/>
        <w:tabs>
          <w:tab w:val="left" w:pos="442"/>
          <w:tab w:val="right" w:leader="dot" w:pos="8942"/>
        </w:tabs>
        <w:spacing w:after="120" w:line="240" w:lineRule="auto"/>
        <w:ind w:left="426"/>
        <w:rPr>
          <w:rFonts w:eastAsia="Calibri"/>
          <w:noProof/>
          <w:lang w:eastAsia="en-US"/>
        </w:rPr>
      </w:pPr>
      <w:hyperlink w:anchor="_Toc46106237" w:history="1">
        <w:r w:rsidR="00FE43F2" w:rsidRPr="004F5822">
          <w:rPr>
            <w:rFonts w:eastAsia="Calibri"/>
            <w:noProof/>
            <w:lang w:eastAsia="en-US"/>
          </w:rPr>
          <w:t>6.                  KAYNAKLAR</w:t>
        </w:r>
        <w:r w:rsidR="00FE43F2" w:rsidRPr="004F5822">
          <w:rPr>
            <w:rFonts w:eastAsia="Calibri"/>
            <w:noProof/>
            <w:webHidden/>
            <w:lang w:eastAsia="en-US"/>
          </w:rPr>
          <w:tab/>
        </w:r>
        <w:r w:rsidR="00915B77">
          <w:rPr>
            <w:rFonts w:eastAsia="Calibri"/>
            <w:noProof/>
            <w:webHidden/>
            <w:lang w:eastAsia="en-US"/>
          </w:rPr>
          <w:t>4</w:t>
        </w:r>
        <w:r w:rsidR="00014F1A">
          <w:rPr>
            <w:rFonts w:eastAsia="Calibri"/>
            <w:noProof/>
            <w:webHidden/>
            <w:lang w:eastAsia="en-US"/>
          </w:rPr>
          <w:t>7</w:t>
        </w:r>
      </w:hyperlink>
    </w:p>
    <w:p w14:paraId="259ABCD0" w14:textId="77777777" w:rsidR="00FE43F2" w:rsidRDefault="00FE43F2" w:rsidP="009F1432">
      <w:pPr>
        <w:widowControl w:val="0"/>
        <w:tabs>
          <w:tab w:val="left" w:pos="442"/>
          <w:tab w:val="right" w:leader="dot" w:pos="8942"/>
        </w:tabs>
        <w:spacing w:after="120" w:line="240" w:lineRule="auto"/>
        <w:ind w:left="426"/>
        <w:rPr>
          <w:rFonts w:eastAsia="Calibri"/>
          <w:noProof/>
          <w:lang w:eastAsia="en-US"/>
        </w:rPr>
      </w:pPr>
      <w:r w:rsidRPr="004F5822">
        <w:rPr>
          <w:rFonts w:eastAsia="Times New Roman"/>
          <w:noProof/>
          <w:lang w:eastAsia="en-US"/>
        </w:rPr>
        <w:t xml:space="preserve">                     </w:t>
      </w:r>
      <w:hyperlink w:anchor="_Toc46106238" w:history="1">
        <w:r w:rsidRPr="004F5822">
          <w:rPr>
            <w:rFonts w:eastAsia="Calibri"/>
            <w:noProof/>
            <w:lang w:eastAsia="en-US"/>
          </w:rPr>
          <w:t>ÖZGEÇMİŞ</w:t>
        </w:r>
      </w:hyperlink>
    </w:p>
    <w:p w14:paraId="77140687" w14:textId="77777777" w:rsidR="00612EE9" w:rsidRDefault="00612EE9" w:rsidP="009F1432">
      <w:pPr>
        <w:widowControl w:val="0"/>
        <w:tabs>
          <w:tab w:val="left" w:pos="442"/>
          <w:tab w:val="right" w:leader="dot" w:pos="8942"/>
        </w:tabs>
        <w:spacing w:after="120" w:line="240" w:lineRule="auto"/>
        <w:ind w:left="426"/>
        <w:rPr>
          <w:rFonts w:eastAsia="Calibri"/>
          <w:noProof/>
          <w:lang w:eastAsia="en-US"/>
        </w:rPr>
      </w:pPr>
    </w:p>
    <w:p w14:paraId="564B70F6" w14:textId="77777777" w:rsidR="00612EE9" w:rsidRDefault="00612EE9" w:rsidP="009F1432">
      <w:pPr>
        <w:widowControl w:val="0"/>
        <w:tabs>
          <w:tab w:val="left" w:pos="442"/>
          <w:tab w:val="right" w:leader="dot" w:pos="8942"/>
        </w:tabs>
        <w:spacing w:after="120" w:line="240" w:lineRule="auto"/>
        <w:ind w:left="426"/>
        <w:rPr>
          <w:rFonts w:eastAsia="Calibri"/>
          <w:noProof/>
          <w:lang w:eastAsia="en-US"/>
        </w:rPr>
      </w:pPr>
    </w:p>
    <w:p w14:paraId="27397A64" w14:textId="77777777" w:rsidR="00612EE9" w:rsidRDefault="00612EE9" w:rsidP="009F1432">
      <w:pPr>
        <w:widowControl w:val="0"/>
        <w:tabs>
          <w:tab w:val="left" w:pos="442"/>
          <w:tab w:val="right" w:leader="dot" w:pos="8942"/>
        </w:tabs>
        <w:spacing w:after="120" w:line="240" w:lineRule="auto"/>
        <w:ind w:left="426"/>
        <w:rPr>
          <w:rFonts w:eastAsia="Calibri"/>
          <w:noProof/>
          <w:lang w:eastAsia="en-US"/>
        </w:rPr>
      </w:pPr>
    </w:p>
    <w:p w14:paraId="63190CD1" w14:textId="77777777" w:rsidR="00612EE9" w:rsidRDefault="00612EE9" w:rsidP="009F1432">
      <w:pPr>
        <w:widowControl w:val="0"/>
        <w:tabs>
          <w:tab w:val="left" w:pos="442"/>
          <w:tab w:val="right" w:leader="dot" w:pos="8942"/>
        </w:tabs>
        <w:spacing w:after="120" w:line="240" w:lineRule="auto"/>
        <w:ind w:left="426"/>
        <w:rPr>
          <w:rFonts w:eastAsia="Calibri"/>
          <w:noProof/>
          <w:lang w:eastAsia="en-US"/>
        </w:rPr>
      </w:pPr>
    </w:p>
    <w:p w14:paraId="530D9A7F" w14:textId="77777777" w:rsidR="00612EE9" w:rsidRDefault="00612EE9" w:rsidP="009F1432">
      <w:pPr>
        <w:widowControl w:val="0"/>
        <w:tabs>
          <w:tab w:val="left" w:pos="442"/>
          <w:tab w:val="right" w:leader="dot" w:pos="8942"/>
        </w:tabs>
        <w:spacing w:after="120" w:line="240" w:lineRule="auto"/>
        <w:ind w:left="426"/>
        <w:rPr>
          <w:rFonts w:eastAsia="Calibri"/>
          <w:noProof/>
          <w:lang w:eastAsia="en-US"/>
        </w:rPr>
      </w:pPr>
    </w:p>
    <w:p w14:paraId="4BECDB8B" w14:textId="77777777" w:rsidR="00612EE9" w:rsidRDefault="00612EE9" w:rsidP="009F1432">
      <w:pPr>
        <w:widowControl w:val="0"/>
        <w:tabs>
          <w:tab w:val="left" w:pos="442"/>
          <w:tab w:val="right" w:leader="dot" w:pos="8942"/>
        </w:tabs>
        <w:spacing w:after="120" w:line="240" w:lineRule="auto"/>
        <w:ind w:left="426"/>
        <w:rPr>
          <w:rFonts w:eastAsia="Calibri"/>
          <w:noProof/>
          <w:lang w:eastAsia="en-US"/>
        </w:rPr>
      </w:pPr>
    </w:p>
    <w:p w14:paraId="58AF426E" w14:textId="77777777" w:rsidR="00612EE9" w:rsidRDefault="00612EE9" w:rsidP="009F1432">
      <w:pPr>
        <w:widowControl w:val="0"/>
        <w:tabs>
          <w:tab w:val="left" w:pos="442"/>
          <w:tab w:val="right" w:leader="dot" w:pos="8942"/>
        </w:tabs>
        <w:spacing w:after="120" w:line="240" w:lineRule="auto"/>
        <w:ind w:left="426"/>
        <w:rPr>
          <w:rFonts w:eastAsia="Calibri"/>
          <w:noProof/>
          <w:lang w:eastAsia="en-US"/>
        </w:rPr>
      </w:pPr>
    </w:p>
    <w:p w14:paraId="5694551E" w14:textId="77777777" w:rsidR="00612EE9" w:rsidRDefault="00612EE9" w:rsidP="009F1432">
      <w:pPr>
        <w:widowControl w:val="0"/>
        <w:tabs>
          <w:tab w:val="left" w:pos="442"/>
          <w:tab w:val="right" w:leader="dot" w:pos="8942"/>
        </w:tabs>
        <w:spacing w:after="120" w:line="240" w:lineRule="auto"/>
        <w:ind w:left="426"/>
        <w:rPr>
          <w:rFonts w:eastAsia="Calibri"/>
          <w:noProof/>
          <w:lang w:eastAsia="en-US"/>
        </w:rPr>
      </w:pPr>
    </w:p>
    <w:p w14:paraId="139253F7" w14:textId="77777777" w:rsidR="00612EE9" w:rsidRDefault="00612EE9" w:rsidP="009F1432">
      <w:pPr>
        <w:widowControl w:val="0"/>
        <w:tabs>
          <w:tab w:val="left" w:pos="442"/>
          <w:tab w:val="right" w:leader="dot" w:pos="8942"/>
        </w:tabs>
        <w:spacing w:after="120" w:line="240" w:lineRule="auto"/>
        <w:ind w:left="426"/>
        <w:rPr>
          <w:rFonts w:eastAsia="Calibri"/>
          <w:noProof/>
          <w:lang w:eastAsia="en-US"/>
        </w:rPr>
      </w:pPr>
    </w:p>
    <w:p w14:paraId="6FABEC11" w14:textId="77777777" w:rsidR="00612EE9" w:rsidRDefault="00612EE9" w:rsidP="009F1432">
      <w:pPr>
        <w:widowControl w:val="0"/>
        <w:tabs>
          <w:tab w:val="left" w:pos="442"/>
          <w:tab w:val="right" w:leader="dot" w:pos="8942"/>
        </w:tabs>
        <w:spacing w:after="120" w:line="240" w:lineRule="auto"/>
        <w:ind w:left="426"/>
        <w:rPr>
          <w:rFonts w:eastAsia="Calibri"/>
          <w:noProof/>
          <w:lang w:eastAsia="en-US"/>
        </w:rPr>
      </w:pPr>
    </w:p>
    <w:p w14:paraId="318C3100" w14:textId="77777777" w:rsidR="00612EE9" w:rsidRDefault="00612EE9" w:rsidP="009F1432">
      <w:pPr>
        <w:widowControl w:val="0"/>
        <w:tabs>
          <w:tab w:val="left" w:pos="442"/>
          <w:tab w:val="right" w:leader="dot" w:pos="8942"/>
        </w:tabs>
        <w:spacing w:after="120" w:line="240" w:lineRule="auto"/>
        <w:ind w:left="426"/>
        <w:rPr>
          <w:rFonts w:eastAsia="Calibri"/>
          <w:noProof/>
          <w:lang w:eastAsia="en-US"/>
        </w:rPr>
      </w:pPr>
    </w:p>
    <w:p w14:paraId="6A40AB55" w14:textId="77777777" w:rsidR="00612EE9" w:rsidRDefault="00612EE9" w:rsidP="009F1432">
      <w:pPr>
        <w:widowControl w:val="0"/>
        <w:tabs>
          <w:tab w:val="left" w:pos="442"/>
          <w:tab w:val="right" w:leader="dot" w:pos="8942"/>
        </w:tabs>
        <w:spacing w:after="120" w:line="240" w:lineRule="auto"/>
        <w:ind w:left="426"/>
        <w:rPr>
          <w:rFonts w:eastAsia="Calibri"/>
          <w:noProof/>
          <w:lang w:eastAsia="en-US"/>
        </w:rPr>
      </w:pPr>
    </w:p>
    <w:p w14:paraId="0668A706" w14:textId="77777777" w:rsidR="0077278A" w:rsidRDefault="0077278A" w:rsidP="009F1432">
      <w:pPr>
        <w:widowControl w:val="0"/>
        <w:tabs>
          <w:tab w:val="left" w:pos="442"/>
          <w:tab w:val="right" w:leader="dot" w:pos="8942"/>
        </w:tabs>
        <w:spacing w:after="120" w:line="240" w:lineRule="auto"/>
        <w:rPr>
          <w:rFonts w:eastAsia="Calibri"/>
          <w:noProof/>
          <w:lang w:eastAsia="en-US"/>
        </w:rPr>
      </w:pPr>
    </w:p>
    <w:p w14:paraId="5D616B98" w14:textId="77777777" w:rsidR="009F1432" w:rsidRDefault="009F1432" w:rsidP="009F1432">
      <w:pPr>
        <w:widowControl w:val="0"/>
        <w:tabs>
          <w:tab w:val="left" w:pos="442"/>
          <w:tab w:val="right" w:leader="dot" w:pos="8942"/>
        </w:tabs>
        <w:spacing w:after="120" w:line="240" w:lineRule="auto"/>
        <w:rPr>
          <w:rFonts w:eastAsia="Calibri"/>
          <w:noProof/>
          <w:lang w:eastAsia="en-US"/>
        </w:rPr>
      </w:pPr>
    </w:p>
    <w:p w14:paraId="2AD5FC70" w14:textId="77777777" w:rsidR="00612EE9" w:rsidRPr="004F5822" w:rsidRDefault="00612EE9" w:rsidP="009F1432">
      <w:pPr>
        <w:widowControl w:val="0"/>
        <w:tabs>
          <w:tab w:val="left" w:pos="442"/>
          <w:tab w:val="right" w:leader="dot" w:pos="8942"/>
        </w:tabs>
        <w:spacing w:after="120"/>
        <w:ind w:left="426"/>
        <w:rPr>
          <w:rFonts w:eastAsia="Calibri"/>
          <w:noProof/>
          <w:lang w:eastAsia="en-US"/>
        </w:rPr>
      </w:pPr>
    </w:p>
    <w:p w14:paraId="58D600A0" w14:textId="77777777" w:rsidR="00AD2814" w:rsidRPr="00381E18" w:rsidRDefault="00FE43F2" w:rsidP="00FE43F2">
      <w:pPr>
        <w:pStyle w:val="Balk1"/>
        <w:spacing w:before="0" w:line="360" w:lineRule="auto"/>
        <w:jc w:val="center"/>
        <w:rPr>
          <w:rFonts w:ascii="Times New Roman" w:hAnsi="Times New Roman" w:cs="Times New Roman"/>
          <w:sz w:val="24"/>
          <w:szCs w:val="24"/>
        </w:rPr>
      </w:pPr>
      <w:r w:rsidRPr="004F5822">
        <w:rPr>
          <w:rFonts w:ascii="Calibri" w:eastAsia="Calibri" w:hAnsi="Calibri"/>
          <w:noProof/>
          <w:color w:val="000000" w:themeColor="text1"/>
          <w:spacing w:val="-1"/>
          <w:sz w:val="22"/>
          <w:szCs w:val="22"/>
          <w:lang w:val="en-US" w:eastAsia="en-US"/>
        </w:rPr>
        <w:lastRenderedPageBreak/>
        <w:fldChar w:fldCharType="end"/>
      </w:r>
      <w:r w:rsidRPr="002B45AE">
        <w:rPr>
          <w:b w:val="0"/>
        </w:rPr>
        <w:t xml:space="preserve"> </w:t>
      </w:r>
      <w:bookmarkStart w:id="25" w:name="_Toc64567824"/>
      <w:bookmarkStart w:id="26" w:name="_Toc11358670"/>
      <w:bookmarkStart w:id="27" w:name="_Toc12097177"/>
      <w:bookmarkStart w:id="28" w:name="_Toc12097633"/>
      <w:bookmarkStart w:id="29" w:name="_Toc12097917"/>
      <w:bookmarkStart w:id="30" w:name="_Toc12864112"/>
      <w:bookmarkStart w:id="31" w:name="_Toc12954896"/>
      <w:bookmarkStart w:id="32" w:name="_Toc12956493"/>
      <w:bookmarkStart w:id="33" w:name="_Toc12956576"/>
      <w:r w:rsidR="00AD2814" w:rsidRPr="00381E18">
        <w:rPr>
          <w:rFonts w:ascii="Times New Roman" w:hAnsi="Times New Roman" w:cs="Times New Roman"/>
          <w:color w:val="000000" w:themeColor="text1"/>
          <w:sz w:val="24"/>
          <w:szCs w:val="24"/>
        </w:rPr>
        <w:t>ŞEKİLLER DİZİNİ</w:t>
      </w:r>
      <w:bookmarkEnd w:id="25"/>
    </w:p>
    <w:p w14:paraId="24E2DF6E" w14:textId="3F9CDF49" w:rsidR="00AD2814" w:rsidRDefault="00991836" w:rsidP="00333C41">
      <w:pPr>
        <w:spacing w:after="0" w:line="360" w:lineRule="auto"/>
        <w:jc w:val="center"/>
        <w:rPr>
          <w:rFonts w:eastAsia="Calibri"/>
          <w:b/>
          <w:color w:val="auto"/>
          <w:u w:val="single"/>
          <w:lang w:eastAsia="en-US"/>
        </w:rPr>
      </w:pPr>
      <w:r w:rsidRPr="00991836">
        <w:rPr>
          <w:rFonts w:eastAsia="Calibri"/>
          <w:b/>
          <w:color w:val="auto"/>
          <w:lang w:eastAsia="en-US"/>
        </w:rPr>
        <w:t xml:space="preserve">               </w:t>
      </w:r>
      <w:r w:rsidR="00333C41">
        <w:rPr>
          <w:rFonts w:eastAsia="Calibri"/>
          <w:b/>
          <w:color w:val="auto"/>
          <w:lang w:eastAsia="en-US"/>
        </w:rPr>
        <w:t xml:space="preserve">                               </w:t>
      </w:r>
      <w:r w:rsidRPr="00991836">
        <w:rPr>
          <w:rFonts w:eastAsia="Calibri"/>
          <w:b/>
          <w:color w:val="auto"/>
          <w:lang w:eastAsia="en-US"/>
        </w:rPr>
        <w:t xml:space="preserve">                                                                           </w:t>
      </w:r>
      <w:r w:rsidR="00333C41">
        <w:rPr>
          <w:rFonts w:eastAsia="Calibri"/>
          <w:b/>
          <w:color w:val="auto"/>
          <w:lang w:eastAsia="en-US"/>
        </w:rPr>
        <w:t xml:space="preserve">            </w:t>
      </w:r>
      <w:r w:rsidR="00AD2814" w:rsidRPr="00664EDE">
        <w:rPr>
          <w:rFonts w:eastAsia="Calibri"/>
          <w:b/>
          <w:color w:val="auto"/>
          <w:u w:val="single"/>
          <w:lang w:eastAsia="en-US"/>
        </w:rPr>
        <w:t>Sayfa No</w:t>
      </w:r>
    </w:p>
    <w:p w14:paraId="5EECDB10" w14:textId="77777777" w:rsidR="00333C41" w:rsidRPr="00664EDE" w:rsidRDefault="00333C41" w:rsidP="00333C41">
      <w:pPr>
        <w:spacing w:after="0" w:line="240" w:lineRule="auto"/>
        <w:jc w:val="center"/>
        <w:rPr>
          <w:rFonts w:eastAsia="Calibri"/>
          <w:b/>
          <w:color w:val="auto"/>
          <w:u w:val="single"/>
          <w:lang w:eastAsia="en-US"/>
        </w:rPr>
      </w:pPr>
    </w:p>
    <w:p w14:paraId="4631BDD0" w14:textId="72E02C04" w:rsidR="000502EF" w:rsidRPr="002568D6" w:rsidRDefault="000502EF" w:rsidP="00183CFE">
      <w:pPr>
        <w:tabs>
          <w:tab w:val="left" w:pos="1418"/>
          <w:tab w:val="right" w:leader="dot" w:pos="8931"/>
        </w:tabs>
        <w:spacing w:after="120" w:line="240" w:lineRule="auto"/>
        <w:ind w:left="1418" w:right="680" w:hanging="1418"/>
        <w:jc w:val="both"/>
        <w:rPr>
          <w:rFonts w:eastAsia="Times New Roman"/>
          <w:spacing w:val="72"/>
          <w:kern w:val="16"/>
        </w:rPr>
      </w:pPr>
      <w:r w:rsidRPr="002568D6">
        <w:rPr>
          <w:rFonts w:eastAsia="Times New Roman"/>
          <w:kern w:val="16"/>
        </w:rPr>
        <w:t xml:space="preserve">Şekil 1.1.   </w:t>
      </w:r>
      <w:r w:rsidRPr="002568D6">
        <w:rPr>
          <w:rFonts w:eastAsia="Times New Roman"/>
          <w:kern w:val="16"/>
        </w:rPr>
        <w:tab/>
        <w:t>Asetilkolinesterazın hidroliz reaksiyonu</w:t>
      </w:r>
      <w:r w:rsidRPr="002568D6">
        <w:rPr>
          <w:rFonts w:eastAsia="Times New Roman"/>
          <w:kern w:val="16"/>
        </w:rPr>
        <w:tab/>
      </w:r>
      <w:r w:rsidR="002F3D14">
        <w:rPr>
          <w:rFonts w:eastAsia="Times New Roman"/>
          <w:kern w:val="16"/>
        </w:rPr>
        <w:t>4</w:t>
      </w:r>
      <w:r w:rsidRPr="002568D6">
        <w:rPr>
          <w:rFonts w:eastAsia="Times New Roman"/>
          <w:kern w:val="16"/>
        </w:rPr>
        <w:t xml:space="preserve"> </w:t>
      </w:r>
    </w:p>
    <w:p w14:paraId="7D4B9DF4" w14:textId="783FF750" w:rsidR="000502EF" w:rsidRPr="002568D6" w:rsidRDefault="000502EF" w:rsidP="00183CFE">
      <w:pPr>
        <w:tabs>
          <w:tab w:val="left" w:pos="1418"/>
          <w:tab w:val="right" w:leader="dot" w:pos="8931"/>
        </w:tabs>
        <w:spacing w:after="120" w:line="240" w:lineRule="auto"/>
        <w:ind w:left="1418" w:right="680" w:hanging="1418"/>
        <w:jc w:val="both"/>
        <w:rPr>
          <w:rFonts w:eastAsia="Times New Roman"/>
          <w:kern w:val="16"/>
        </w:rPr>
      </w:pPr>
      <w:r w:rsidRPr="002568D6">
        <w:rPr>
          <w:rFonts w:eastAsia="Times New Roman"/>
          <w:kern w:val="16"/>
        </w:rPr>
        <w:t xml:space="preserve">Şekil 1.2.   </w:t>
      </w:r>
      <w:r w:rsidRPr="002568D6">
        <w:rPr>
          <w:rFonts w:eastAsia="Times New Roman"/>
          <w:kern w:val="16"/>
        </w:rPr>
        <w:tab/>
        <w:t>Bütirilkoliesterazın hidroliz reaksiyonu</w:t>
      </w:r>
      <w:r w:rsidRPr="002568D6">
        <w:rPr>
          <w:rFonts w:eastAsia="Times New Roman"/>
          <w:kern w:val="16"/>
        </w:rPr>
        <w:tab/>
      </w:r>
      <w:r w:rsidR="002F3D14">
        <w:rPr>
          <w:rFonts w:eastAsia="Times New Roman"/>
          <w:kern w:val="16"/>
        </w:rPr>
        <w:t>5</w:t>
      </w:r>
    </w:p>
    <w:p w14:paraId="58F78370" w14:textId="13B1CCDF" w:rsidR="000502EF" w:rsidRPr="002568D6" w:rsidRDefault="000502EF" w:rsidP="00183CFE">
      <w:pPr>
        <w:tabs>
          <w:tab w:val="left" w:pos="1418"/>
          <w:tab w:val="right" w:leader="dot" w:pos="8931"/>
        </w:tabs>
        <w:spacing w:after="120" w:line="240" w:lineRule="auto"/>
        <w:ind w:left="1418" w:right="286" w:hanging="1418"/>
        <w:jc w:val="both"/>
        <w:rPr>
          <w:rFonts w:eastAsia="Times New Roman"/>
          <w:kern w:val="16"/>
        </w:rPr>
      </w:pPr>
      <w:r w:rsidRPr="002568D6">
        <w:rPr>
          <w:rFonts w:eastAsia="Times New Roman"/>
          <w:kern w:val="16"/>
        </w:rPr>
        <w:t xml:space="preserve">Şekil 1.3.   </w:t>
      </w:r>
      <w:r w:rsidRPr="002568D6">
        <w:rPr>
          <w:rFonts w:eastAsia="Times New Roman"/>
          <w:kern w:val="16"/>
        </w:rPr>
        <w:tab/>
        <w:t>Asetilkolinesteraz enziminin sinir hücreleri aksiyon boyunca kimyasal işlevi (Yıldız 2013)</w:t>
      </w:r>
      <w:r w:rsidRPr="002568D6">
        <w:rPr>
          <w:rFonts w:eastAsia="Times New Roman"/>
          <w:kern w:val="16"/>
        </w:rPr>
        <w:tab/>
      </w:r>
      <w:r w:rsidR="002F3D14">
        <w:rPr>
          <w:rFonts w:eastAsia="Times New Roman"/>
          <w:kern w:val="16"/>
        </w:rPr>
        <w:t>8</w:t>
      </w:r>
    </w:p>
    <w:p w14:paraId="2A7A4BD0" w14:textId="438C27EF" w:rsidR="000502EF" w:rsidRPr="002568D6" w:rsidRDefault="000502EF" w:rsidP="00183CFE">
      <w:pPr>
        <w:tabs>
          <w:tab w:val="left" w:pos="1418"/>
          <w:tab w:val="right" w:leader="dot" w:pos="8931"/>
        </w:tabs>
        <w:spacing w:after="120" w:line="240" w:lineRule="auto"/>
        <w:ind w:left="1418" w:right="680" w:hanging="1418"/>
        <w:jc w:val="both"/>
        <w:rPr>
          <w:rFonts w:eastAsia="Times New Roman"/>
          <w:kern w:val="16"/>
        </w:rPr>
      </w:pPr>
      <w:r w:rsidRPr="002568D6">
        <w:rPr>
          <w:rFonts w:eastAsia="Times New Roman"/>
          <w:kern w:val="16"/>
        </w:rPr>
        <w:t xml:space="preserve">Şekil 1.4.   </w:t>
      </w:r>
      <w:r w:rsidRPr="002568D6">
        <w:rPr>
          <w:rFonts w:eastAsia="Times New Roman"/>
          <w:kern w:val="16"/>
        </w:rPr>
        <w:tab/>
        <w:t>Piperidin</w:t>
      </w:r>
      <w:r w:rsidRPr="002568D6">
        <w:rPr>
          <w:rFonts w:eastAsia="Times New Roman"/>
          <w:kern w:val="16"/>
        </w:rPr>
        <w:tab/>
      </w:r>
      <w:r w:rsidR="002F3D14">
        <w:rPr>
          <w:rFonts w:eastAsia="Times New Roman"/>
          <w:kern w:val="16"/>
        </w:rPr>
        <w:t>11</w:t>
      </w:r>
    </w:p>
    <w:p w14:paraId="30BB2229" w14:textId="3F6B350B" w:rsidR="000502EF" w:rsidRPr="002568D6" w:rsidRDefault="000502EF" w:rsidP="00183CFE">
      <w:pPr>
        <w:tabs>
          <w:tab w:val="left" w:pos="1418"/>
          <w:tab w:val="right" w:leader="dot" w:pos="8931"/>
        </w:tabs>
        <w:spacing w:after="120" w:line="240" w:lineRule="auto"/>
        <w:ind w:left="1418" w:right="680" w:hanging="1418"/>
        <w:jc w:val="both"/>
        <w:rPr>
          <w:rFonts w:eastAsia="Times New Roman"/>
          <w:kern w:val="16"/>
        </w:rPr>
      </w:pPr>
      <w:r w:rsidRPr="002568D6">
        <w:rPr>
          <w:rFonts w:eastAsia="Times New Roman"/>
          <w:kern w:val="16"/>
        </w:rPr>
        <w:t xml:space="preserve">Şekil 2.1.   </w:t>
      </w:r>
      <w:r w:rsidRPr="002568D6">
        <w:rPr>
          <w:rFonts w:eastAsia="Times New Roman"/>
          <w:kern w:val="16"/>
        </w:rPr>
        <w:tab/>
        <w:t>(1-metil-4-hidroksi-4-fenil piperidin-3-il)(fenil)metanon</w:t>
      </w:r>
      <w:r w:rsidRPr="002568D6">
        <w:rPr>
          <w:rFonts w:eastAsia="Times New Roman"/>
          <w:kern w:val="16"/>
        </w:rPr>
        <w:tab/>
      </w:r>
      <w:r w:rsidR="002F3D14">
        <w:rPr>
          <w:rFonts w:eastAsia="Times New Roman"/>
          <w:kern w:val="16"/>
        </w:rPr>
        <w:t>1</w:t>
      </w:r>
      <w:r w:rsidR="00A02568">
        <w:rPr>
          <w:rFonts w:eastAsia="Times New Roman"/>
          <w:kern w:val="16"/>
        </w:rPr>
        <w:t>4</w:t>
      </w:r>
    </w:p>
    <w:p w14:paraId="161A5032" w14:textId="1489ED0B" w:rsidR="000502EF" w:rsidRPr="002568D6" w:rsidRDefault="000502EF" w:rsidP="00183CFE">
      <w:pPr>
        <w:tabs>
          <w:tab w:val="left" w:pos="1418"/>
          <w:tab w:val="right" w:leader="dot" w:pos="8931"/>
        </w:tabs>
        <w:spacing w:after="120" w:line="240" w:lineRule="auto"/>
        <w:ind w:left="1418" w:right="680" w:hanging="1418"/>
        <w:jc w:val="both"/>
        <w:rPr>
          <w:rFonts w:eastAsia="Times New Roman"/>
          <w:kern w:val="16"/>
        </w:rPr>
      </w:pPr>
      <w:r w:rsidRPr="002568D6">
        <w:rPr>
          <w:rFonts w:eastAsia="Times New Roman"/>
          <w:kern w:val="16"/>
        </w:rPr>
        <w:t xml:space="preserve">Şekil 2.2.   </w:t>
      </w:r>
      <w:r w:rsidRPr="002568D6">
        <w:rPr>
          <w:rFonts w:eastAsia="Times New Roman"/>
          <w:kern w:val="16"/>
        </w:rPr>
        <w:tab/>
        <w:t>(1-etil-4-hidroksi-4-fenil piperidin-3-il)(fenil)metanon</w:t>
      </w:r>
      <w:r w:rsidRPr="002568D6">
        <w:rPr>
          <w:rFonts w:eastAsia="Times New Roman"/>
          <w:kern w:val="16"/>
        </w:rPr>
        <w:tab/>
      </w:r>
      <w:r w:rsidR="002F3D14">
        <w:rPr>
          <w:rFonts w:eastAsia="Times New Roman"/>
          <w:kern w:val="16"/>
        </w:rPr>
        <w:t>1</w:t>
      </w:r>
      <w:r w:rsidR="00A02568">
        <w:rPr>
          <w:rFonts w:eastAsia="Times New Roman"/>
          <w:kern w:val="16"/>
        </w:rPr>
        <w:t>4</w:t>
      </w:r>
    </w:p>
    <w:p w14:paraId="0A8344B7" w14:textId="3A52C487" w:rsidR="000502EF" w:rsidRPr="002568D6" w:rsidRDefault="000502EF" w:rsidP="00183CFE">
      <w:pPr>
        <w:tabs>
          <w:tab w:val="left" w:pos="1418"/>
          <w:tab w:val="right" w:leader="dot" w:pos="8931"/>
        </w:tabs>
        <w:spacing w:after="120" w:line="240" w:lineRule="auto"/>
        <w:ind w:left="1418" w:right="286" w:hanging="1418"/>
        <w:jc w:val="both"/>
        <w:rPr>
          <w:rFonts w:eastAsia="Times New Roman"/>
          <w:kern w:val="16"/>
        </w:rPr>
      </w:pPr>
      <w:r w:rsidRPr="002568D6">
        <w:rPr>
          <w:rFonts w:eastAsia="Times New Roman"/>
          <w:kern w:val="16"/>
        </w:rPr>
        <w:t xml:space="preserve">Şekil 3.1.   </w:t>
      </w:r>
      <w:r w:rsidRPr="002568D6">
        <w:rPr>
          <w:rFonts w:eastAsia="Times New Roman"/>
          <w:kern w:val="16"/>
        </w:rPr>
        <w:tab/>
      </w:r>
      <w:r>
        <w:rPr>
          <w:rFonts w:eastAsia="Times New Roman"/>
          <w:kern w:val="16"/>
        </w:rPr>
        <w:t>(1-metil-4-hidroksi-4-fenil</w:t>
      </w:r>
      <w:r w:rsidRPr="002568D6">
        <w:rPr>
          <w:rFonts w:eastAsia="Times New Roman"/>
          <w:kern w:val="16"/>
        </w:rPr>
        <w:t>piperidin-3-il)(fenil)metanon bileşiğinin AChE enzimi üzerindeki etkisini belirlemek amacıyla beş farklı inhibitor konstrasyonunda çizilen Aktivite (%)-[Konsantrasyon] grafiği</w:t>
      </w:r>
      <w:r w:rsidRPr="002568D6">
        <w:rPr>
          <w:rFonts w:eastAsia="Times New Roman"/>
          <w:kern w:val="16"/>
        </w:rPr>
        <w:tab/>
      </w:r>
      <w:r w:rsidR="002F3D14">
        <w:rPr>
          <w:rFonts w:eastAsia="Times New Roman"/>
          <w:kern w:val="16"/>
        </w:rPr>
        <w:t>2</w:t>
      </w:r>
      <w:r w:rsidR="00A02568">
        <w:rPr>
          <w:rFonts w:eastAsia="Times New Roman"/>
          <w:kern w:val="16"/>
        </w:rPr>
        <w:t>1</w:t>
      </w:r>
    </w:p>
    <w:p w14:paraId="68EFDCF2" w14:textId="0CF1F45A" w:rsidR="000502EF" w:rsidRPr="002568D6" w:rsidRDefault="000502EF" w:rsidP="00183CFE">
      <w:pPr>
        <w:tabs>
          <w:tab w:val="left" w:pos="1418"/>
          <w:tab w:val="right" w:leader="dot" w:pos="8931"/>
        </w:tabs>
        <w:spacing w:after="120" w:line="240" w:lineRule="auto"/>
        <w:ind w:left="1418" w:right="286" w:hanging="1418"/>
        <w:jc w:val="both"/>
        <w:rPr>
          <w:rFonts w:eastAsia="Times New Roman"/>
          <w:kern w:val="16"/>
        </w:rPr>
      </w:pPr>
      <w:r w:rsidRPr="002568D6">
        <w:rPr>
          <w:rFonts w:eastAsia="Times New Roman"/>
          <w:kern w:val="16"/>
        </w:rPr>
        <w:t xml:space="preserve">Şekil 3.2.    </w:t>
      </w:r>
      <w:r w:rsidRPr="002568D6">
        <w:rPr>
          <w:rFonts w:eastAsia="Times New Roman"/>
          <w:kern w:val="16"/>
        </w:rPr>
        <w:tab/>
        <w:t>(1-metil-4-hidroksi-4-fenilpiperidin-3-il)(fenil)metanon bileşiğinin AChE enzimi üzerindeki etkisini belirlemek amacıyla beş farklı substrat konsantrasyonu ve üç farklı inhibitör konsantrasyonunda çizilen Lineweaver-Burk grafiği</w:t>
      </w:r>
      <w:r w:rsidRPr="002568D6">
        <w:rPr>
          <w:rFonts w:eastAsia="Times New Roman"/>
          <w:kern w:val="16"/>
        </w:rPr>
        <w:tab/>
      </w:r>
      <w:r w:rsidR="002F3D14">
        <w:rPr>
          <w:rFonts w:eastAsia="Times New Roman"/>
          <w:kern w:val="16"/>
        </w:rPr>
        <w:t>2</w:t>
      </w:r>
      <w:r w:rsidR="00A02568">
        <w:rPr>
          <w:rFonts w:eastAsia="Times New Roman"/>
          <w:kern w:val="16"/>
        </w:rPr>
        <w:t>2</w:t>
      </w:r>
    </w:p>
    <w:p w14:paraId="54FC2028" w14:textId="2E632731" w:rsidR="000502EF" w:rsidRPr="002568D6" w:rsidRDefault="000502EF" w:rsidP="00183CFE">
      <w:pPr>
        <w:tabs>
          <w:tab w:val="left" w:pos="1418"/>
          <w:tab w:val="right" w:leader="dot" w:pos="8931"/>
        </w:tabs>
        <w:spacing w:after="120" w:line="240" w:lineRule="auto"/>
        <w:ind w:left="1418" w:right="286" w:hanging="1418"/>
        <w:jc w:val="both"/>
        <w:rPr>
          <w:rFonts w:eastAsia="Times New Roman"/>
          <w:kern w:val="16"/>
        </w:rPr>
      </w:pPr>
      <w:r w:rsidRPr="002568D6">
        <w:rPr>
          <w:rFonts w:eastAsia="Times New Roman"/>
          <w:kern w:val="16"/>
        </w:rPr>
        <w:t xml:space="preserve">Şekil 3.3.    </w:t>
      </w:r>
      <w:r w:rsidRPr="002568D6">
        <w:rPr>
          <w:rFonts w:eastAsia="Times New Roman"/>
          <w:kern w:val="16"/>
        </w:rPr>
        <w:tab/>
        <w:t>(1-etil-4-hidroksi-4-fenilpiperidin-3-il)(fenil)metanon bileşiğinin AChE enzimi üzerindeki etkisini belirlemek amacıyla beş farklı inhibitor konstrasyonunda çizilen Aktivite(%)-[Konsantrasyon] grafiği</w:t>
      </w:r>
      <w:r w:rsidRPr="002568D6">
        <w:rPr>
          <w:rFonts w:eastAsia="Times New Roman"/>
          <w:kern w:val="16"/>
        </w:rPr>
        <w:tab/>
      </w:r>
      <w:r w:rsidR="002F3D14">
        <w:rPr>
          <w:rFonts w:eastAsia="Times New Roman"/>
          <w:kern w:val="16"/>
        </w:rPr>
        <w:t>2</w:t>
      </w:r>
      <w:r w:rsidR="00A02568">
        <w:rPr>
          <w:rFonts w:eastAsia="Times New Roman"/>
          <w:kern w:val="16"/>
        </w:rPr>
        <w:t>2</w:t>
      </w:r>
    </w:p>
    <w:p w14:paraId="676A7C1D" w14:textId="27326A9A" w:rsidR="000502EF" w:rsidRPr="002568D6" w:rsidRDefault="000502EF" w:rsidP="00183CFE">
      <w:pPr>
        <w:tabs>
          <w:tab w:val="left" w:pos="1418"/>
          <w:tab w:val="right" w:leader="dot" w:pos="8931"/>
        </w:tabs>
        <w:spacing w:after="120" w:line="240" w:lineRule="auto"/>
        <w:ind w:left="1418" w:right="286" w:hanging="1418"/>
        <w:jc w:val="both"/>
        <w:rPr>
          <w:rFonts w:eastAsia="Times New Roman"/>
          <w:kern w:val="16"/>
        </w:rPr>
      </w:pPr>
      <w:r w:rsidRPr="002568D6">
        <w:rPr>
          <w:rFonts w:eastAsia="Times New Roman"/>
          <w:kern w:val="16"/>
        </w:rPr>
        <w:t xml:space="preserve">Şekil 3.4.  </w:t>
      </w:r>
      <w:r w:rsidRPr="002568D6">
        <w:rPr>
          <w:rFonts w:eastAsia="Times New Roman"/>
          <w:kern w:val="16"/>
        </w:rPr>
        <w:tab/>
      </w:r>
      <w:r w:rsidRPr="002568D6">
        <w:t>(1-etil-4-hidroksi-4-fenil piperidin-3-il)(fenil)metanon bileşiğinin AChE enzimi üzerindeki etkisini belirlemek amacıyla beş farklı substrat konsantrasyonu ve üç farklı inhibitör konsantrasyonunda çizilen Lineweaver-Burk grafiği</w:t>
      </w:r>
      <w:r w:rsidRPr="002568D6">
        <w:rPr>
          <w:rFonts w:eastAsia="Times New Roman"/>
          <w:noProof/>
          <w:kern w:val="16"/>
        </w:rPr>
        <w:tab/>
      </w:r>
      <w:r w:rsidR="002F3D14">
        <w:rPr>
          <w:rFonts w:eastAsia="Times New Roman"/>
          <w:noProof/>
          <w:kern w:val="16"/>
        </w:rPr>
        <w:t>2</w:t>
      </w:r>
      <w:r w:rsidR="00A02568">
        <w:rPr>
          <w:rFonts w:eastAsia="Times New Roman"/>
          <w:noProof/>
          <w:kern w:val="16"/>
        </w:rPr>
        <w:t>3</w:t>
      </w:r>
    </w:p>
    <w:p w14:paraId="7B285FB7" w14:textId="5BBCC30F" w:rsidR="000502EF" w:rsidRPr="002568D6" w:rsidRDefault="000502EF" w:rsidP="00183CFE">
      <w:pPr>
        <w:tabs>
          <w:tab w:val="left" w:pos="1418"/>
          <w:tab w:val="right" w:leader="dot" w:pos="8931"/>
        </w:tabs>
        <w:spacing w:after="120" w:line="240" w:lineRule="auto"/>
        <w:ind w:left="1418" w:right="286" w:hanging="1418"/>
        <w:jc w:val="both"/>
        <w:rPr>
          <w:rFonts w:eastAsia="Times New Roman"/>
          <w:kern w:val="16"/>
        </w:rPr>
      </w:pPr>
      <w:r w:rsidRPr="002568D6">
        <w:rPr>
          <w:rFonts w:eastAsia="Times New Roman"/>
          <w:kern w:val="16"/>
        </w:rPr>
        <w:t xml:space="preserve">Şekil 3.5.    </w:t>
      </w:r>
      <w:r w:rsidRPr="002568D6">
        <w:rPr>
          <w:rFonts w:eastAsia="Times New Roman"/>
          <w:kern w:val="16"/>
        </w:rPr>
        <w:tab/>
        <w:t>(1-metil-4-hidroksi-4-fenilpiperidin-3-il)(fenil)metanon bileşiğinin BChE enzimi üzerindeki etkisini belirlemek amacıyla beş farklı inhibitor konstrasyonunda çizilen Aktivite (%)-[Konsantrasyon] grafiği</w:t>
      </w:r>
      <w:r w:rsidRPr="002568D6">
        <w:rPr>
          <w:rFonts w:eastAsia="Times New Roman"/>
          <w:kern w:val="16"/>
        </w:rPr>
        <w:tab/>
      </w:r>
      <w:r w:rsidR="002F3D14">
        <w:rPr>
          <w:rFonts w:eastAsia="Times New Roman"/>
          <w:kern w:val="16"/>
        </w:rPr>
        <w:t>2</w:t>
      </w:r>
      <w:r w:rsidR="00A02568">
        <w:rPr>
          <w:rFonts w:eastAsia="Times New Roman"/>
          <w:kern w:val="16"/>
        </w:rPr>
        <w:t>4</w:t>
      </w:r>
    </w:p>
    <w:p w14:paraId="56ECE0FF" w14:textId="110DEF2C" w:rsidR="000502EF" w:rsidRPr="002568D6" w:rsidRDefault="000502EF" w:rsidP="00183CFE">
      <w:pPr>
        <w:tabs>
          <w:tab w:val="left" w:pos="1418"/>
          <w:tab w:val="right" w:leader="dot" w:pos="8931"/>
        </w:tabs>
        <w:spacing w:after="120" w:line="240" w:lineRule="auto"/>
        <w:ind w:left="1418" w:right="286" w:hanging="1418"/>
        <w:jc w:val="both"/>
        <w:rPr>
          <w:rFonts w:eastAsia="Times New Roman"/>
          <w:kern w:val="16"/>
        </w:rPr>
      </w:pPr>
      <w:r w:rsidRPr="002568D6">
        <w:rPr>
          <w:rFonts w:eastAsia="Times New Roman"/>
          <w:kern w:val="16"/>
        </w:rPr>
        <w:t xml:space="preserve">Şekil 3.6.    </w:t>
      </w:r>
      <w:r w:rsidRPr="002568D6">
        <w:rPr>
          <w:rFonts w:eastAsia="Times New Roman"/>
          <w:kern w:val="16"/>
        </w:rPr>
        <w:tab/>
        <w:t>(1-metil-4-hidroksi-4-fenil piperidin-3-il)(fenil)metanon bileşiğinin BChE enzimi üzerindeki etkisini belirlemek amacıyla beş farklı substrat konsantrasyonu ve üç farklı inhibitör konsantrasyonunda çizilen Lineweaver-Burk grafiği</w:t>
      </w:r>
      <w:r w:rsidRPr="002568D6">
        <w:rPr>
          <w:rFonts w:eastAsia="Times New Roman"/>
          <w:kern w:val="16"/>
        </w:rPr>
        <w:tab/>
      </w:r>
      <w:r w:rsidR="002F3D14">
        <w:rPr>
          <w:rFonts w:eastAsia="Times New Roman"/>
          <w:kern w:val="16"/>
        </w:rPr>
        <w:t>2</w:t>
      </w:r>
      <w:r w:rsidR="00A02568">
        <w:rPr>
          <w:rFonts w:eastAsia="Times New Roman"/>
          <w:kern w:val="16"/>
        </w:rPr>
        <w:t>5</w:t>
      </w:r>
    </w:p>
    <w:p w14:paraId="588077AB" w14:textId="5032BDAC" w:rsidR="000502EF" w:rsidRPr="002568D6" w:rsidRDefault="000502EF" w:rsidP="00183CFE">
      <w:pPr>
        <w:tabs>
          <w:tab w:val="left" w:pos="1418"/>
          <w:tab w:val="right" w:leader="dot" w:pos="8931"/>
        </w:tabs>
        <w:spacing w:after="120" w:line="240" w:lineRule="auto"/>
        <w:ind w:left="1418" w:right="286" w:hanging="1418"/>
        <w:jc w:val="both"/>
        <w:rPr>
          <w:rFonts w:eastAsia="Times New Roman"/>
          <w:kern w:val="16"/>
        </w:rPr>
      </w:pPr>
      <w:r w:rsidRPr="002568D6">
        <w:rPr>
          <w:rFonts w:eastAsia="Times New Roman"/>
          <w:kern w:val="16"/>
        </w:rPr>
        <w:t xml:space="preserve">Şekil 3.7.    </w:t>
      </w:r>
      <w:r w:rsidRPr="002568D6">
        <w:rPr>
          <w:rFonts w:eastAsia="Times New Roman"/>
          <w:kern w:val="16"/>
        </w:rPr>
        <w:tab/>
        <w:t>(1-etil-4-hidroksi-4-fenil piperidin-3-il)(fenil)metanon bileşiğinin BChE enzimi üzerindeki etkisini belirlemek amacıyla beş farklı inhibitor konstrasyonunda çizilen Aktivite(%)-[Konsantrasyon] grafiği</w:t>
      </w:r>
      <w:r w:rsidRPr="002568D6">
        <w:rPr>
          <w:rFonts w:eastAsia="Times New Roman"/>
          <w:kern w:val="16"/>
        </w:rPr>
        <w:tab/>
      </w:r>
      <w:r w:rsidR="002F3D14">
        <w:rPr>
          <w:rFonts w:eastAsia="Times New Roman"/>
          <w:kern w:val="16"/>
        </w:rPr>
        <w:t>2</w:t>
      </w:r>
      <w:r w:rsidR="00A02568">
        <w:rPr>
          <w:rFonts w:eastAsia="Times New Roman"/>
          <w:kern w:val="16"/>
        </w:rPr>
        <w:t>5</w:t>
      </w:r>
    </w:p>
    <w:p w14:paraId="537BBD93" w14:textId="248003FB" w:rsidR="000502EF" w:rsidRPr="002568D6" w:rsidRDefault="000502EF" w:rsidP="00183CFE">
      <w:pPr>
        <w:tabs>
          <w:tab w:val="left" w:pos="1418"/>
          <w:tab w:val="right" w:leader="dot" w:pos="8931"/>
        </w:tabs>
        <w:spacing w:after="120" w:line="240" w:lineRule="auto"/>
        <w:ind w:left="1418" w:right="286" w:hanging="1418"/>
        <w:jc w:val="both"/>
        <w:rPr>
          <w:rFonts w:eastAsia="Times New Roman"/>
          <w:kern w:val="16"/>
        </w:rPr>
      </w:pPr>
      <w:r w:rsidRPr="002568D6">
        <w:rPr>
          <w:rFonts w:eastAsia="Times New Roman"/>
          <w:kern w:val="16"/>
        </w:rPr>
        <w:t xml:space="preserve">Şekil 3.8.    </w:t>
      </w:r>
      <w:r w:rsidRPr="002568D6">
        <w:rPr>
          <w:rFonts w:eastAsia="Times New Roman"/>
          <w:kern w:val="16"/>
        </w:rPr>
        <w:tab/>
        <w:t>(1-etil-4-hidroksi-4-fenil piperidin-3-il) (fenil) metanon bileşiğinin BChE enzimi üzerindeki etkisini belirlemek amacıyla beş farklı substrat konsantrasyonu ve üç farklı inhibitör konsantrasyonunda çi</w:t>
      </w:r>
      <w:r w:rsidR="000A12A1">
        <w:rPr>
          <w:rFonts w:eastAsia="Times New Roman"/>
          <w:kern w:val="16"/>
        </w:rPr>
        <w:t>zilen Lineweaver-Burk grafiği</w:t>
      </w:r>
      <w:r w:rsidR="000A12A1">
        <w:rPr>
          <w:rFonts w:eastAsia="Times New Roman"/>
          <w:kern w:val="16"/>
        </w:rPr>
        <w:tab/>
      </w:r>
      <w:r w:rsidR="002F3D14">
        <w:rPr>
          <w:rFonts w:eastAsia="Times New Roman"/>
          <w:kern w:val="16"/>
        </w:rPr>
        <w:t>2</w:t>
      </w:r>
      <w:r w:rsidR="00A02568">
        <w:rPr>
          <w:rFonts w:eastAsia="Times New Roman"/>
          <w:kern w:val="16"/>
        </w:rPr>
        <w:t>6</w:t>
      </w:r>
    </w:p>
    <w:p w14:paraId="4D24A42B" w14:textId="5F9E66AE" w:rsidR="000502EF" w:rsidRDefault="000502EF" w:rsidP="00183CFE">
      <w:pPr>
        <w:tabs>
          <w:tab w:val="left" w:pos="1418"/>
          <w:tab w:val="right" w:leader="dot" w:pos="8931"/>
        </w:tabs>
        <w:spacing w:after="120" w:line="240" w:lineRule="auto"/>
        <w:ind w:left="1418" w:right="286" w:hanging="1418"/>
        <w:jc w:val="both"/>
        <w:rPr>
          <w:rFonts w:eastAsia="Times New Roman"/>
          <w:kern w:val="16"/>
        </w:rPr>
      </w:pPr>
      <w:r w:rsidRPr="002568D6">
        <w:rPr>
          <w:rFonts w:eastAsia="Times New Roman"/>
          <w:kern w:val="16"/>
        </w:rPr>
        <w:t xml:space="preserve">Şekil 3.9.    </w:t>
      </w:r>
      <w:r w:rsidRPr="002568D6">
        <w:rPr>
          <w:rFonts w:eastAsia="Times New Roman"/>
          <w:kern w:val="16"/>
        </w:rPr>
        <w:tab/>
      </w:r>
      <w:r w:rsidR="00CB5DD4" w:rsidRPr="00CB5DD4">
        <w:rPr>
          <w:rFonts w:eastAsia="Times New Roman"/>
          <w:kern w:val="16"/>
        </w:rPr>
        <w:t>Donepezilin AChE enzimi üzerindeki etkisini belirlemek amacıyla beş farklı inhibitor konstrasyonunda çizilen Aktivite(%)-[Konsantrasyon] grafiği</w:t>
      </w:r>
      <w:r w:rsidRPr="002568D6">
        <w:rPr>
          <w:rFonts w:eastAsia="Times New Roman"/>
          <w:kern w:val="16"/>
        </w:rPr>
        <w:tab/>
      </w:r>
      <w:r w:rsidR="002F3D14">
        <w:rPr>
          <w:rFonts w:eastAsia="Times New Roman"/>
          <w:kern w:val="16"/>
        </w:rPr>
        <w:t>2</w:t>
      </w:r>
      <w:r w:rsidR="00A02568">
        <w:rPr>
          <w:rFonts w:eastAsia="Times New Roman"/>
          <w:kern w:val="16"/>
        </w:rPr>
        <w:t>7</w:t>
      </w:r>
    </w:p>
    <w:p w14:paraId="4DEBC241" w14:textId="61938AC9" w:rsidR="00BE7BA3" w:rsidRDefault="00CB5DD4" w:rsidP="00183CFE">
      <w:pPr>
        <w:tabs>
          <w:tab w:val="left" w:pos="1418"/>
          <w:tab w:val="right" w:leader="dot" w:pos="8931"/>
        </w:tabs>
        <w:spacing w:after="120" w:line="240" w:lineRule="auto"/>
        <w:ind w:left="1418" w:right="286" w:hanging="1418"/>
        <w:jc w:val="both"/>
        <w:rPr>
          <w:rFonts w:eastAsia="Times New Roman"/>
          <w:kern w:val="16"/>
        </w:rPr>
      </w:pPr>
      <w:r>
        <w:rPr>
          <w:rFonts w:eastAsia="Times New Roman"/>
          <w:kern w:val="16"/>
        </w:rPr>
        <w:lastRenderedPageBreak/>
        <w:t>Şekil 3.10</w:t>
      </w:r>
      <w:r w:rsidRPr="00CB5DD4">
        <w:rPr>
          <w:rFonts w:eastAsia="Times New Roman"/>
          <w:kern w:val="16"/>
        </w:rPr>
        <w:t xml:space="preserve">.    </w:t>
      </w:r>
      <w:r w:rsidRPr="00CB5DD4">
        <w:rPr>
          <w:rFonts w:eastAsia="Times New Roman"/>
          <w:kern w:val="16"/>
        </w:rPr>
        <w:tab/>
      </w:r>
      <w:r>
        <w:rPr>
          <w:rFonts w:eastAsia="Calibri"/>
          <w:color w:val="auto"/>
        </w:rPr>
        <w:t>Donepezilin A</w:t>
      </w:r>
      <w:r w:rsidRPr="007943A0">
        <w:rPr>
          <w:rFonts w:eastAsia="Calibri"/>
          <w:color w:val="auto"/>
        </w:rPr>
        <w:t>ChE enzimi üzerindeki etkisini belirlemek amacıyla beş farklı substrat konsantrasyonu ve üç farklı inhibitör konsantrasyonunda çizilen Lineweaver-Burk grafiği</w:t>
      </w:r>
      <w:r w:rsidRPr="00CB5DD4">
        <w:rPr>
          <w:rFonts w:eastAsia="Times New Roman"/>
          <w:kern w:val="16"/>
        </w:rPr>
        <w:tab/>
      </w:r>
      <w:r w:rsidR="002F3D14">
        <w:rPr>
          <w:rFonts w:eastAsia="Times New Roman"/>
          <w:kern w:val="16"/>
        </w:rPr>
        <w:t>2</w:t>
      </w:r>
      <w:r w:rsidR="00A02568">
        <w:rPr>
          <w:rFonts w:eastAsia="Times New Roman"/>
          <w:kern w:val="16"/>
        </w:rPr>
        <w:t>8</w:t>
      </w:r>
    </w:p>
    <w:p w14:paraId="453D68D4" w14:textId="5BCEAA85" w:rsidR="00CB5DD4" w:rsidRPr="002568D6" w:rsidRDefault="00CB5DD4" w:rsidP="00183CFE">
      <w:pPr>
        <w:tabs>
          <w:tab w:val="left" w:pos="1418"/>
          <w:tab w:val="right" w:leader="dot" w:pos="8931"/>
        </w:tabs>
        <w:spacing w:after="120" w:line="240" w:lineRule="auto"/>
        <w:ind w:left="1418" w:right="286" w:hanging="1418"/>
        <w:jc w:val="both"/>
        <w:rPr>
          <w:rFonts w:eastAsia="Times New Roman"/>
          <w:kern w:val="16"/>
        </w:rPr>
      </w:pPr>
      <w:r>
        <w:rPr>
          <w:rFonts w:eastAsia="Times New Roman"/>
          <w:kern w:val="16"/>
        </w:rPr>
        <w:t>Şekil 3.11</w:t>
      </w:r>
      <w:r w:rsidRPr="00CB5DD4">
        <w:rPr>
          <w:rFonts w:eastAsia="Times New Roman"/>
          <w:kern w:val="16"/>
        </w:rPr>
        <w:t xml:space="preserve">.    </w:t>
      </w:r>
      <w:r w:rsidRPr="00CB5DD4">
        <w:rPr>
          <w:rFonts w:eastAsia="Times New Roman"/>
          <w:kern w:val="16"/>
        </w:rPr>
        <w:tab/>
        <w:t xml:space="preserve">Disklere emdirilen maddelerin (A bileşiği etanol (1), B bileşiği etanol (2), A bileşiği DMSO (3) B bileşiği DMSO’da (4) çözülerek hazırlandı) </w:t>
      </w:r>
      <w:r w:rsidRPr="00CB5DD4">
        <w:rPr>
          <w:rFonts w:eastAsia="Times New Roman"/>
          <w:i/>
          <w:kern w:val="16"/>
        </w:rPr>
        <w:t>S. aureus</w:t>
      </w:r>
      <w:r w:rsidRPr="00CB5DD4">
        <w:rPr>
          <w:rFonts w:eastAsia="Times New Roman"/>
          <w:kern w:val="16"/>
        </w:rPr>
        <w:t xml:space="preserve"> ATCC 29213 üzerinde oluşturdukları inhibisyon zonları</w:t>
      </w:r>
      <w:r w:rsidRPr="00CB5DD4">
        <w:rPr>
          <w:rFonts w:eastAsia="Times New Roman"/>
          <w:kern w:val="16"/>
        </w:rPr>
        <w:tab/>
      </w:r>
      <w:r w:rsidR="00117CEF">
        <w:rPr>
          <w:rFonts w:eastAsia="Times New Roman"/>
          <w:kern w:val="16"/>
        </w:rPr>
        <w:t>3</w:t>
      </w:r>
      <w:r w:rsidR="00A02568">
        <w:rPr>
          <w:rFonts w:eastAsia="Times New Roman"/>
          <w:kern w:val="16"/>
        </w:rPr>
        <w:t>0</w:t>
      </w:r>
    </w:p>
    <w:p w14:paraId="11BAD174" w14:textId="4E2E26A9" w:rsidR="000502EF" w:rsidRPr="002568D6" w:rsidRDefault="00CB5DD4" w:rsidP="00183CFE">
      <w:pPr>
        <w:tabs>
          <w:tab w:val="left" w:pos="1418"/>
          <w:tab w:val="right" w:leader="dot" w:pos="8931"/>
        </w:tabs>
        <w:spacing w:after="120" w:line="240" w:lineRule="auto"/>
        <w:ind w:left="1418" w:right="286" w:hanging="1418"/>
        <w:jc w:val="both"/>
        <w:rPr>
          <w:rFonts w:eastAsia="Times New Roman"/>
          <w:kern w:val="16"/>
        </w:rPr>
      </w:pPr>
      <w:r>
        <w:rPr>
          <w:rFonts w:eastAsia="Times New Roman"/>
          <w:kern w:val="16"/>
        </w:rPr>
        <w:t>Şekil 3.12</w:t>
      </w:r>
      <w:r w:rsidR="000502EF" w:rsidRPr="002568D6">
        <w:rPr>
          <w:rFonts w:eastAsia="Times New Roman"/>
          <w:kern w:val="16"/>
        </w:rPr>
        <w:t xml:space="preserve">.    </w:t>
      </w:r>
      <w:r w:rsidR="000502EF" w:rsidRPr="002568D6">
        <w:rPr>
          <w:rFonts w:eastAsia="Times New Roman"/>
          <w:kern w:val="16"/>
        </w:rPr>
        <w:tab/>
        <w:t xml:space="preserve">Disklere emdirilen maddelerin (A bileşiği (1), B bileşiği etanol (2), A bileşiği DMSO (3) B bileşiği DMSO’da (4) çözülerek hazırlandı) </w:t>
      </w:r>
      <w:r w:rsidR="000502EF" w:rsidRPr="002568D6">
        <w:rPr>
          <w:rFonts w:eastAsia="Times New Roman"/>
          <w:i/>
          <w:kern w:val="16"/>
        </w:rPr>
        <w:t>E. coli</w:t>
      </w:r>
      <w:r w:rsidR="000502EF" w:rsidRPr="002568D6">
        <w:rPr>
          <w:rFonts w:eastAsia="Times New Roman"/>
          <w:kern w:val="16"/>
        </w:rPr>
        <w:t xml:space="preserve"> 35218 üzerinde oluşturdukları inhibisyon zonları</w:t>
      </w:r>
      <w:r w:rsidR="000502EF" w:rsidRPr="002568D6">
        <w:rPr>
          <w:rFonts w:eastAsia="Times New Roman"/>
          <w:kern w:val="16"/>
        </w:rPr>
        <w:tab/>
      </w:r>
      <w:r w:rsidR="00117CEF">
        <w:rPr>
          <w:rFonts w:eastAsia="Times New Roman"/>
          <w:kern w:val="16"/>
        </w:rPr>
        <w:t>3</w:t>
      </w:r>
      <w:r w:rsidR="00E96823">
        <w:rPr>
          <w:rFonts w:eastAsia="Times New Roman"/>
          <w:kern w:val="16"/>
        </w:rPr>
        <w:t>0</w:t>
      </w:r>
    </w:p>
    <w:p w14:paraId="4701FBB9" w14:textId="729B2B11" w:rsidR="000502EF" w:rsidRPr="002568D6" w:rsidRDefault="00CB5DD4" w:rsidP="00183CFE">
      <w:pPr>
        <w:tabs>
          <w:tab w:val="left" w:pos="1418"/>
          <w:tab w:val="right" w:leader="dot" w:pos="8931"/>
        </w:tabs>
        <w:spacing w:after="120" w:line="240" w:lineRule="auto"/>
        <w:ind w:left="1418" w:right="286" w:hanging="1418"/>
        <w:jc w:val="both"/>
        <w:rPr>
          <w:rFonts w:eastAsia="Times New Roman"/>
          <w:kern w:val="16"/>
        </w:rPr>
      </w:pPr>
      <w:r>
        <w:rPr>
          <w:rFonts w:eastAsia="Times New Roman"/>
          <w:kern w:val="16"/>
        </w:rPr>
        <w:t>Şekil 3.13</w:t>
      </w:r>
      <w:r w:rsidR="000502EF" w:rsidRPr="002568D6">
        <w:rPr>
          <w:rFonts w:eastAsia="Times New Roman"/>
          <w:kern w:val="16"/>
        </w:rPr>
        <w:t xml:space="preserve">.    </w:t>
      </w:r>
      <w:r w:rsidR="000502EF" w:rsidRPr="002568D6">
        <w:rPr>
          <w:rFonts w:eastAsia="Times New Roman"/>
          <w:kern w:val="16"/>
        </w:rPr>
        <w:tab/>
      </w:r>
      <w:r w:rsidR="000502EF" w:rsidRPr="002568D6">
        <w:rPr>
          <w:bCs/>
        </w:rPr>
        <w:t>Disklere emdirilen maddelerin (A bileşiği etanol (1), B bileşiği etanol (2), A bileşiği</w:t>
      </w:r>
      <w:r w:rsidR="000502EF" w:rsidRPr="002568D6">
        <w:t xml:space="preserve"> </w:t>
      </w:r>
      <w:r w:rsidR="000502EF" w:rsidRPr="002568D6">
        <w:rPr>
          <w:bCs/>
        </w:rPr>
        <w:t>DMSO (3)</w:t>
      </w:r>
      <w:r w:rsidR="000502EF" w:rsidRPr="002568D6">
        <w:t xml:space="preserve"> </w:t>
      </w:r>
      <w:r w:rsidR="000502EF" w:rsidRPr="002568D6">
        <w:rPr>
          <w:bCs/>
        </w:rPr>
        <w:t>B bileşiği DMSO’da (4)</w:t>
      </w:r>
      <w:r w:rsidR="000502EF" w:rsidRPr="002568D6">
        <w:t xml:space="preserve"> </w:t>
      </w:r>
      <w:r w:rsidR="000502EF" w:rsidRPr="002568D6">
        <w:rPr>
          <w:bCs/>
        </w:rPr>
        <w:t xml:space="preserve">çözülerek hazırlandı) </w:t>
      </w:r>
      <w:r w:rsidR="000502EF" w:rsidRPr="002568D6">
        <w:rPr>
          <w:bCs/>
          <w:i/>
        </w:rPr>
        <w:t>E. coli</w:t>
      </w:r>
      <w:r w:rsidR="000502EF" w:rsidRPr="002568D6">
        <w:rPr>
          <w:bCs/>
        </w:rPr>
        <w:t xml:space="preserve"> 25922 suşu üzerinde oluşturdukları inhibisyon zonları</w:t>
      </w:r>
      <w:r w:rsidR="000502EF" w:rsidRPr="002568D6">
        <w:rPr>
          <w:rFonts w:eastAsia="Times New Roman"/>
          <w:kern w:val="16"/>
        </w:rPr>
        <w:tab/>
      </w:r>
      <w:r w:rsidR="00117CEF">
        <w:rPr>
          <w:rFonts w:eastAsia="Times New Roman"/>
          <w:kern w:val="16"/>
        </w:rPr>
        <w:t>3</w:t>
      </w:r>
      <w:r w:rsidR="00E96823">
        <w:rPr>
          <w:rFonts w:eastAsia="Times New Roman"/>
          <w:kern w:val="16"/>
        </w:rPr>
        <w:t>1</w:t>
      </w:r>
    </w:p>
    <w:p w14:paraId="3222C4F8" w14:textId="5D650243" w:rsidR="000502EF" w:rsidRPr="002568D6" w:rsidRDefault="00CB5DD4" w:rsidP="00183CFE">
      <w:pPr>
        <w:tabs>
          <w:tab w:val="left" w:pos="1418"/>
          <w:tab w:val="right" w:leader="dot" w:pos="8931"/>
        </w:tabs>
        <w:spacing w:after="120" w:line="240" w:lineRule="auto"/>
        <w:ind w:left="1418" w:right="286" w:hanging="1418"/>
        <w:jc w:val="both"/>
        <w:rPr>
          <w:rFonts w:eastAsia="Times New Roman"/>
          <w:kern w:val="16"/>
        </w:rPr>
      </w:pPr>
      <w:r>
        <w:rPr>
          <w:rFonts w:eastAsia="Times New Roman"/>
          <w:kern w:val="16"/>
        </w:rPr>
        <w:t>Şekil 3.14</w:t>
      </w:r>
      <w:r w:rsidR="000502EF" w:rsidRPr="002568D6">
        <w:rPr>
          <w:rFonts w:eastAsia="Times New Roman"/>
          <w:kern w:val="16"/>
        </w:rPr>
        <w:t xml:space="preserve">.    </w:t>
      </w:r>
      <w:r w:rsidR="000502EF" w:rsidRPr="002568D6">
        <w:rPr>
          <w:rFonts w:eastAsia="Times New Roman"/>
          <w:kern w:val="16"/>
        </w:rPr>
        <w:tab/>
        <w:t xml:space="preserve">Disklere emdirilen maddelerin (A bileşiği etanol (1), B bileşiği etanol (2), A bileşiği DMSO (3) B bileşiği DMSO’da (4) çözülerek hazırlandı) </w:t>
      </w:r>
      <w:r w:rsidR="000502EF" w:rsidRPr="002568D6">
        <w:rPr>
          <w:rFonts w:eastAsia="Times New Roman"/>
          <w:i/>
          <w:kern w:val="16"/>
        </w:rPr>
        <w:t>Klebsiella pnemoniae</w:t>
      </w:r>
      <w:r w:rsidR="000502EF" w:rsidRPr="002568D6">
        <w:rPr>
          <w:rFonts w:eastAsia="Times New Roman"/>
          <w:kern w:val="16"/>
        </w:rPr>
        <w:t xml:space="preserve"> üzerinde oluşturdukları inhibisyon zonları</w:t>
      </w:r>
      <w:r w:rsidR="000502EF" w:rsidRPr="002568D6">
        <w:rPr>
          <w:rFonts w:eastAsia="Times New Roman"/>
          <w:kern w:val="16"/>
        </w:rPr>
        <w:tab/>
      </w:r>
      <w:r w:rsidR="00117CEF">
        <w:rPr>
          <w:rFonts w:eastAsia="Times New Roman"/>
          <w:kern w:val="16"/>
        </w:rPr>
        <w:t>3</w:t>
      </w:r>
      <w:r w:rsidR="00E96823">
        <w:rPr>
          <w:rFonts w:eastAsia="Times New Roman"/>
          <w:kern w:val="16"/>
        </w:rPr>
        <w:t>1</w:t>
      </w:r>
    </w:p>
    <w:p w14:paraId="7AEB32FC" w14:textId="3D473969" w:rsidR="000502EF" w:rsidRPr="004F3BFE" w:rsidRDefault="000502EF" w:rsidP="00183CFE">
      <w:pPr>
        <w:tabs>
          <w:tab w:val="left" w:pos="1418"/>
          <w:tab w:val="right" w:leader="dot" w:pos="8931"/>
        </w:tabs>
        <w:spacing w:after="120" w:line="240" w:lineRule="auto"/>
        <w:ind w:left="1418" w:right="286" w:hanging="1418"/>
        <w:jc w:val="both"/>
        <w:rPr>
          <w:rFonts w:eastAsia="Times New Roman"/>
          <w:kern w:val="16"/>
        </w:rPr>
      </w:pPr>
      <w:r w:rsidRPr="002568D6">
        <w:rPr>
          <w:rFonts w:eastAsia="Times New Roman"/>
          <w:kern w:val="16"/>
        </w:rPr>
        <w:t>Şek</w:t>
      </w:r>
      <w:r w:rsidR="00CB5DD4">
        <w:rPr>
          <w:rFonts w:eastAsia="Times New Roman"/>
          <w:kern w:val="16"/>
        </w:rPr>
        <w:t>il 3.15</w:t>
      </w:r>
      <w:r w:rsidRPr="004F3BFE">
        <w:rPr>
          <w:rFonts w:eastAsia="Times New Roman"/>
          <w:kern w:val="16"/>
        </w:rPr>
        <w:t xml:space="preserve">.    </w:t>
      </w:r>
      <w:r w:rsidRPr="004F3BFE">
        <w:rPr>
          <w:rFonts w:eastAsia="Times New Roman"/>
          <w:kern w:val="16"/>
        </w:rPr>
        <w:tab/>
      </w:r>
      <w:r w:rsidRPr="002568D6">
        <w:rPr>
          <w:rFonts w:eastAsia="Times New Roman"/>
          <w:kern w:val="16"/>
        </w:rPr>
        <w:t xml:space="preserve">Disklere emdirilen maddelerin (A bileşiği etanol (1), B bileşiği etanol (2), A bileşiği DMSO (3) B bileşiği DMSO’da (4) çözülerek hazırlandı) </w:t>
      </w:r>
      <w:r w:rsidRPr="002568D6">
        <w:rPr>
          <w:rFonts w:eastAsia="Times New Roman"/>
          <w:i/>
          <w:kern w:val="16"/>
        </w:rPr>
        <w:t>E. faecalis</w:t>
      </w:r>
      <w:r w:rsidRPr="002568D6">
        <w:rPr>
          <w:rFonts w:eastAsia="Times New Roman"/>
          <w:kern w:val="16"/>
        </w:rPr>
        <w:t xml:space="preserve"> üzerinde oluşturdukları inhibisyon zonları</w:t>
      </w:r>
      <w:r w:rsidRPr="004F3BFE">
        <w:rPr>
          <w:rFonts w:eastAsia="Times New Roman"/>
          <w:kern w:val="16"/>
        </w:rPr>
        <w:tab/>
      </w:r>
      <w:r w:rsidR="00117CEF">
        <w:rPr>
          <w:rFonts w:eastAsia="Times New Roman"/>
          <w:kern w:val="16"/>
        </w:rPr>
        <w:t>3</w:t>
      </w:r>
      <w:r w:rsidR="00E96823">
        <w:rPr>
          <w:rFonts w:eastAsia="Times New Roman"/>
          <w:kern w:val="16"/>
        </w:rPr>
        <w:t>2</w:t>
      </w:r>
    </w:p>
    <w:p w14:paraId="2C0FE608" w14:textId="68ED7729" w:rsidR="000502EF" w:rsidRPr="004F3BFE" w:rsidRDefault="00CB5DD4" w:rsidP="00183CFE">
      <w:pPr>
        <w:tabs>
          <w:tab w:val="left" w:pos="1418"/>
          <w:tab w:val="right" w:leader="dot" w:pos="8931"/>
        </w:tabs>
        <w:spacing w:after="120" w:line="240" w:lineRule="auto"/>
        <w:ind w:left="1418" w:right="286" w:hanging="1418"/>
        <w:jc w:val="both"/>
        <w:rPr>
          <w:rFonts w:eastAsia="Times New Roman"/>
          <w:kern w:val="16"/>
        </w:rPr>
      </w:pPr>
      <w:r>
        <w:rPr>
          <w:rFonts w:eastAsia="Times New Roman"/>
          <w:kern w:val="16"/>
        </w:rPr>
        <w:t>Şekil 3.16</w:t>
      </w:r>
      <w:r w:rsidR="000502EF" w:rsidRPr="004F3BFE">
        <w:rPr>
          <w:rFonts w:eastAsia="Times New Roman"/>
          <w:kern w:val="16"/>
        </w:rPr>
        <w:t xml:space="preserve">.    </w:t>
      </w:r>
      <w:r w:rsidR="000502EF" w:rsidRPr="004F3BFE">
        <w:rPr>
          <w:rFonts w:eastAsia="Times New Roman"/>
          <w:kern w:val="16"/>
        </w:rPr>
        <w:tab/>
      </w:r>
      <w:r w:rsidR="000502EF" w:rsidRPr="002568D6">
        <w:rPr>
          <w:rFonts w:eastAsia="Times New Roman"/>
          <w:kern w:val="16"/>
        </w:rPr>
        <w:t>Disklere emdirilen maddelerin (A bileşiği etanol (1), B bileşiği etanol (2), A bileşiği DMSO (3) B bileşiği DMSO’da (4) çözülerek hazırlandı)</w:t>
      </w:r>
      <w:r w:rsidR="000502EF" w:rsidRPr="002568D6">
        <w:rPr>
          <w:rFonts w:eastAsia="Times New Roman"/>
          <w:i/>
          <w:kern w:val="16"/>
        </w:rPr>
        <w:t xml:space="preserve"> P.aerugınosa</w:t>
      </w:r>
      <w:r w:rsidR="000502EF" w:rsidRPr="002568D6">
        <w:rPr>
          <w:rFonts w:eastAsia="Times New Roman"/>
          <w:kern w:val="16"/>
        </w:rPr>
        <w:t xml:space="preserve"> üzerinde oluşturdukları inhibisyon zonları</w:t>
      </w:r>
      <w:r w:rsidR="000502EF" w:rsidRPr="004F3BFE">
        <w:rPr>
          <w:rFonts w:eastAsia="Times New Roman"/>
          <w:kern w:val="16"/>
        </w:rPr>
        <w:tab/>
      </w:r>
      <w:r w:rsidR="00117CEF">
        <w:rPr>
          <w:rFonts w:eastAsia="Times New Roman"/>
          <w:kern w:val="16"/>
        </w:rPr>
        <w:t>3</w:t>
      </w:r>
      <w:r w:rsidR="00E96823">
        <w:rPr>
          <w:rFonts w:eastAsia="Times New Roman"/>
          <w:kern w:val="16"/>
        </w:rPr>
        <w:t>2</w:t>
      </w:r>
    </w:p>
    <w:p w14:paraId="78F89DBD" w14:textId="4213104F" w:rsidR="000502EF" w:rsidRPr="004F3BFE" w:rsidRDefault="00CB5DD4" w:rsidP="00183CFE">
      <w:pPr>
        <w:tabs>
          <w:tab w:val="left" w:pos="1418"/>
          <w:tab w:val="right" w:leader="dot" w:pos="8931"/>
        </w:tabs>
        <w:spacing w:after="120" w:line="240" w:lineRule="auto"/>
        <w:ind w:left="1418" w:right="286" w:hanging="1418"/>
        <w:jc w:val="both"/>
        <w:rPr>
          <w:rFonts w:eastAsia="Times New Roman"/>
          <w:kern w:val="16"/>
        </w:rPr>
      </w:pPr>
      <w:r>
        <w:rPr>
          <w:rFonts w:eastAsia="Times New Roman"/>
          <w:kern w:val="16"/>
        </w:rPr>
        <w:t>Şekil 3.17</w:t>
      </w:r>
      <w:r w:rsidR="000502EF" w:rsidRPr="004F3BFE">
        <w:rPr>
          <w:rFonts w:eastAsia="Times New Roman"/>
          <w:kern w:val="16"/>
        </w:rPr>
        <w:t xml:space="preserve">.    </w:t>
      </w:r>
      <w:r w:rsidR="000502EF" w:rsidRPr="004F3BFE">
        <w:rPr>
          <w:rFonts w:eastAsia="Times New Roman"/>
          <w:kern w:val="16"/>
        </w:rPr>
        <w:tab/>
      </w:r>
      <w:r w:rsidR="000502EF" w:rsidRPr="002568D6">
        <w:rPr>
          <w:rFonts w:eastAsia="Times New Roman"/>
          <w:kern w:val="16"/>
        </w:rPr>
        <w:t>Disklere emdirilen maddelerin (A bileşiği etanol (1), B bileşiği etanol (2), A bileşiği DMSO (3) B bileşiği DMS</w:t>
      </w:r>
      <w:r>
        <w:rPr>
          <w:rFonts w:eastAsia="Times New Roman"/>
          <w:kern w:val="16"/>
        </w:rPr>
        <w:t xml:space="preserve">O’da (4) çözülerek hazırlandı) </w:t>
      </w:r>
      <w:r>
        <w:rPr>
          <w:rFonts w:eastAsia="Times New Roman"/>
          <w:i/>
          <w:kern w:val="16"/>
        </w:rPr>
        <w:t xml:space="preserve">P. </w:t>
      </w:r>
      <w:r w:rsidR="000502EF" w:rsidRPr="002568D6">
        <w:rPr>
          <w:rFonts w:eastAsia="Times New Roman"/>
          <w:i/>
          <w:kern w:val="16"/>
        </w:rPr>
        <w:t>putida</w:t>
      </w:r>
      <w:r w:rsidR="000502EF" w:rsidRPr="002568D6">
        <w:rPr>
          <w:rFonts w:eastAsia="Times New Roman"/>
          <w:kern w:val="16"/>
        </w:rPr>
        <w:t xml:space="preserve"> üzerinde oluşturdukları inhibisyon zonları</w:t>
      </w:r>
      <w:r w:rsidR="000502EF" w:rsidRPr="004F3BFE">
        <w:rPr>
          <w:rFonts w:eastAsia="Times New Roman"/>
          <w:kern w:val="16"/>
        </w:rPr>
        <w:tab/>
      </w:r>
      <w:r w:rsidR="00117CEF">
        <w:rPr>
          <w:rFonts w:eastAsia="Times New Roman"/>
          <w:kern w:val="16"/>
        </w:rPr>
        <w:t>3</w:t>
      </w:r>
      <w:r w:rsidR="00E96823">
        <w:rPr>
          <w:rFonts w:eastAsia="Times New Roman"/>
          <w:kern w:val="16"/>
        </w:rPr>
        <w:t>3</w:t>
      </w:r>
    </w:p>
    <w:p w14:paraId="74C85DE2" w14:textId="022BF25C" w:rsidR="000502EF" w:rsidRPr="002568D6" w:rsidRDefault="000502EF" w:rsidP="00183CFE">
      <w:pPr>
        <w:tabs>
          <w:tab w:val="left" w:pos="1418"/>
          <w:tab w:val="right" w:leader="dot" w:pos="8931"/>
        </w:tabs>
        <w:spacing w:after="120" w:line="240" w:lineRule="auto"/>
        <w:ind w:left="1418" w:right="286" w:hanging="1418"/>
        <w:jc w:val="both"/>
        <w:rPr>
          <w:rFonts w:eastAsia="Times New Roman"/>
          <w:kern w:val="16"/>
        </w:rPr>
      </w:pPr>
      <w:r w:rsidRPr="002568D6">
        <w:rPr>
          <w:rFonts w:eastAsia="Times New Roman"/>
          <w:kern w:val="16"/>
        </w:rPr>
        <w:t>Şekil 4.1</w:t>
      </w:r>
      <w:r w:rsidRPr="004F3BFE">
        <w:rPr>
          <w:rFonts w:eastAsia="Times New Roman"/>
          <w:kern w:val="16"/>
        </w:rPr>
        <w:t xml:space="preserve">.    </w:t>
      </w:r>
      <w:r w:rsidRPr="004F3BFE">
        <w:rPr>
          <w:rFonts w:eastAsia="Times New Roman"/>
          <w:kern w:val="16"/>
        </w:rPr>
        <w:tab/>
      </w:r>
      <w:r w:rsidRPr="002568D6">
        <w:rPr>
          <w:rFonts w:eastAsia="Times New Roman"/>
          <w:kern w:val="16"/>
        </w:rPr>
        <w:t>Sentezlenen 9-(1- (sübsitüe-benzil) piperidin-4-il)-2-kloro-9H-purin-6-amin türevleri için genel kimyasal yapı (Kang vd. 2013)</w:t>
      </w:r>
      <w:r w:rsidRPr="004F3BFE">
        <w:rPr>
          <w:rFonts w:eastAsia="Times New Roman"/>
          <w:kern w:val="16"/>
        </w:rPr>
        <w:tab/>
      </w:r>
      <w:r w:rsidR="00117CEF">
        <w:rPr>
          <w:rFonts w:eastAsia="Times New Roman"/>
          <w:kern w:val="16"/>
        </w:rPr>
        <w:t>3</w:t>
      </w:r>
      <w:r w:rsidR="00E96823">
        <w:rPr>
          <w:rFonts w:eastAsia="Times New Roman"/>
          <w:kern w:val="16"/>
        </w:rPr>
        <w:t>5</w:t>
      </w:r>
    </w:p>
    <w:p w14:paraId="45C69B9D" w14:textId="7DB90425" w:rsidR="000502EF" w:rsidRPr="002568D6" w:rsidRDefault="000502EF" w:rsidP="00183CFE">
      <w:pPr>
        <w:tabs>
          <w:tab w:val="left" w:pos="1418"/>
          <w:tab w:val="right" w:leader="dot" w:pos="8931"/>
        </w:tabs>
        <w:spacing w:after="120" w:line="240" w:lineRule="auto"/>
        <w:ind w:left="1418" w:right="286" w:hanging="1418"/>
        <w:jc w:val="both"/>
        <w:rPr>
          <w:rFonts w:eastAsia="Times New Roman"/>
          <w:kern w:val="16"/>
        </w:rPr>
      </w:pPr>
      <w:r w:rsidRPr="002568D6">
        <w:rPr>
          <w:rFonts w:eastAsia="Times New Roman"/>
          <w:kern w:val="16"/>
        </w:rPr>
        <w:t xml:space="preserve">Şekil 4.2.    </w:t>
      </w:r>
      <w:r w:rsidRPr="002568D6">
        <w:rPr>
          <w:rFonts w:eastAsia="Times New Roman"/>
          <w:kern w:val="16"/>
        </w:rPr>
        <w:tab/>
        <w:t>2-(1-((4-florofe</w:t>
      </w:r>
      <w:r w:rsidR="00B40B16">
        <w:rPr>
          <w:rFonts w:eastAsia="Times New Roman"/>
          <w:kern w:val="16"/>
        </w:rPr>
        <w:t>nil) sülfonil)piperidin-4-il)-3</w:t>
      </w:r>
      <w:r w:rsidR="00E96823">
        <w:rPr>
          <w:rFonts w:eastAsia="Times New Roman"/>
          <w:kern w:val="16"/>
        </w:rPr>
        <w:t xml:space="preserve">- </w:t>
      </w:r>
      <w:r w:rsidRPr="002568D6">
        <w:rPr>
          <w:rFonts w:eastAsia="Times New Roman"/>
          <w:kern w:val="16"/>
        </w:rPr>
        <w:t>((1-metil-1,2,5,6-tetrahidropiridin-3-il) metil) tiazolidin-4-on bileşiği kimyasal yapısı (Kumar vd. 2015)</w:t>
      </w:r>
      <w:r w:rsidRPr="002568D6">
        <w:rPr>
          <w:rFonts w:eastAsia="Times New Roman"/>
          <w:kern w:val="16"/>
        </w:rPr>
        <w:tab/>
      </w:r>
      <w:r w:rsidR="00117CEF">
        <w:rPr>
          <w:rFonts w:eastAsia="Times New Roman"/>
          <w:kern w:val="16"/>
        </w:rPr>
        <w:t>3</w:t>
      </w:r>
      <w:r w:rsidR="00E96823">
        <w:rPr>
          <w:rFonts w:eastAsia="Times New Roman"/>
          <w:kern w:val="16"/>
        </w:rPr>
        <w:t>6</w:t>
      </w:r>
    </w:p>
    <w:p w14:paraId="6F4CC141" w14:textId="511E739B" w:rsidR="000502EF" w:rsidRPr="002568D6" w:rsidRDefault="000502EF" w:rsidP="00183CFE">
      <w:pPr>
        <w:tabs>
          <w:tab w:val="left" w:pos="1418"/>
          <w:tab w:val="right" w:leader="dot" w:pos="8931"/>
        </w:tabs>
        <w:spacing w:after="120" w:line="240" w:lineRule="auto"/>
        <w:ind w:left="1418" w:right="680" w:hanging="1418"/>
        <w:jc w:val="both"/>
        <w:rPr>
          <w:rFonts w:eastAsia="Times New Roman"/>
          <w:kern w:val="16"/>
        </w:rPr>
      </w:pPr>
      <w:r w:rsidRPr="002568D6">
        <w:rPr>
          <w:rFonts w:eastAsia="Times New Roman"/>
          <w:kern w:val="16"/>
        </w:rPr>
        <w:t xml:space="preserve">Şekil 4.3.    </w:t>
      </w:r>
      <w:r w:rsidRPr="002568D6">
        <w:rPr>
          <w:rFonts w:eastAsia="Times New Roman"/>
          <w:kern w:val="16"/>
        </w:rPr>
        <w:tab/>
        <w:t>Piperidinonların sentez reaksiyonu (Parlar, 2019)</w:t>
      </w:r>
      <w:r w:rsidRPr="002568D6">
        <w:rPr>
          <w:rFonts w:eastAsia="Times New Roman"/>
          <w:kern w:val="16"/>
        </w:rPr>
        <w:tab/>
      </w:r>
      <w:r w:rsidR="00117CEF">
        <w:rPr>
          <w:rFonts w:eastAsia="Times New Roman"/>
          <w:kern w:val="16"/>
        </w:rPr>
        <w:t>3</w:t>
      </w:r>
      <w:r w:rsidR="00E96823">
        <w:rPr>
          <w:rFonts w:eastAsia="Times New Roman"/>
          <w:kern w:val="16"/>
        </w:rPr>
        <w:t>6</w:t>
      </w:r>
    </w:p>
    <w:p w14:paraId="6E9ED80A" w14:textId="79C5253E" w:rsidR="000502EF" w:rsidRPr="002568D6" w:rsidRDefault="000502EF" w:rsidP="00183CFE">
      <w:pPr>
        <w:tabs>
          <w:tab w:val="left" w:pos="1418"/>
          <w:tab w:val="right" w:leader="dot" w:pos="8931"/>
        </w:tabs>
        <w:spacing w:after="120" w:line="240" w:lineRule="auto"/>
        <w:ind w:left="1418" w:right="286" w:hanging="1418"/>
        <w:jc w:val="both"/>
        <w:rPr>
          <w:rFonts w:eastAsia="Times New Roman"/>
          <w:kern w:val="16"/>
        </w:rPr>
      </w:pPr>
      <w:r w:rsidRPr="002568D6">
        <w:rPr>
          <w:rFonts w:eastAsia="Times New Roman"/>
          <w:kern w:val="16"/>
        </w:rPr>
        <w:t xml:space="preserve">Şekil 4.4.    </w:t>
      </w:r>
      <w:r w:rsidRPr="002568D6">
        <w:rPr>
          <w:rFonts w:eastAsia="Times New Roman"/>
          <w:kern w:val="16"/>
        </w:rPr>
        <w:tab/>
        <w:t>2,6-disübstitüe piperidin-4-on bileşiği genel yapısı ve bileşik kod numaraları  ve R grupları  (Pandey ve Chawla 2012)</w:t>
      </w:r>
      <w:r w:rsidRPr="002568D6">
        <w:rPr>
          <w:rFonts w:eastAsia="Times New Roman"/>
          <w:kern w:val="16"/>
        </w:rPr>
        <w:tab/>
      </w:r>
      <w:r w:rsidR="00117CEF">
        <w:rPr>
          <w:rFonts w:eastAsia="Times New Roman"/>
          <w:kern w:val="16"/>
        </w:rPr>
        <w:t>4</w:t>
      </w:r>
      <w:r w:rsidR="00E96823">
        <w:rPr>
          <w:rFonts w:eastAsia="Times New Roman"/>
          <w:kern w:val="16"/>
        </w:rPr>
        <w:t>1</w:t>
      </w:r>
    </w:p>
    <w:p w14:paraId="5ED2FA88" w14:textId="031F4E7E" w:rsidR="000502EF" w:rsidRDefault="000502EF" w:rsidP="00183CFE">
      <w:pPr>
        <w:tabs>
          <w:tab w:val="left" w:pos="1418"/>
          <w:tab w:val="right" w:leader="dot" w:pos="8931"/>
        </w:tabs>
        <w:spacing w:after="120" w:line="240" w:lineRule="auto"/>
        <w:ind w:left="1418" w:right="680" w:hanging="1418"/>
        <w:jc w:val="both"/>
        <w:rPr>
          <w:rFonts w:eastAsia="Times New Roman"/>
          <w:kern w:val="16"/>
        </w:rPr>
      </w:pPr>
      <w:r w:rsidRPr="002568D6">
        <w:rPr>
          <w:rFonts w:eastAsia="Times New Roman"/>
          <w:kern w:val="16"/>
        </w:rPr>
        <w:t xml:space="preserve">Şekil 4.5.    </w:t>
      </w:r>
      <w:r w:rsidRPr="002568D6">
        <w:rPr>
          <w:rFonts w:eastAsia="Times New Roman"/>
          <w:kern w:val="16"/>
        </w:rPr>
        <w:tab/>
        <w:t>4-Hidroksi-4-fenil piperidin türevi bileşikleri R ve X grupları</w:t>
      </w:r>
      <w:r w:rsidR="000A12A1">
        <w:rPr>
          <w:rFonts w:eastAsia="Times New Roman"/>
          <w:kern w:val="16"/>
        </w:rPr>
        <w:t xml:space="preserve"> </w:t>
      </w:r>
      <w:r w:rsidR="000A12A1" w:rsidRPr="000A12A1">
        <w:rPr>
          <w:rFonts w:eastAsia="Times New Roman"/>
          <w:kern w:val="16"/>
        </w:rPr>
        <w:t>(Rafig vd., 2013)</w:t>
      </w:r>
      <w:r w:rsidRPr="002568D6">
        <w:rPr>
          <w:rFonts w:eastAsia="Times New Roman"/>
          <w:kern w:val="16"/>
        </w:rPr>
        <w:tab/>
      </w:r>
      <w:r w:rsidR="00117CEF">
        <w:rPr>
          <w:rFonts w:eastAsia="Times New Roman"/>
          <w:kern w:val="16"/>
        </w:rPr>
        <w:t>4</w:t>
      </w:r>
      <w:r w:rsidR="00E96823">
        <w:rPr>
          <w:rFonts w:eastAsia="Times New Roman"/>
          <w:kern w:val="16"/>
        </w:rPr>
        <w:t>2</w:t>
      </w:r>
    </w:p>
    <w:bookmarkEnd w:id="26"/>
    <w:bookmarkEnd w:id="27"/>
    <w:bookmarkEnd w:id="28"/>
    <w:bookmarkEnd w:id="29"/>
    <w:bookmarkEnd w:id="30"/>
    <w:bookmarkEnd w:id="31"/>
    <w:bookmarkEnd w:id="32"/>
    <w:bookmarkEnd w:id="33"/>
    <w:p w14:paraId="5A41C8B1" w14:textId="77777777" w:rsidR="00286C0F" w:rsidRDefault="00286C0F" w:rsidP="00286C0F">
      <w:pPr>
        <w:rPr>
          <w:lang w:eastAsia="en-US"/>
        </w:rPr>
      </w:pPr>
    </w:p>
    <w:p w14:paraId="09C3589F" w14:textId="77777777" w:rsidR="00C47BF0" w:rsidRDefault="00C47BF0" w:rsidP="00286C0F">
      <w:pPr>
        <w:rPr>
          <w:lang w:eastAsia="en-US"/>
        </w:rPr>
      </w:pPr>
    </w:p>
    <w:p w14:paraId="262B6FCE" w14:textId="77777777" w:rsidR="00C47BF0" w:rsidRDefault="00C47BF0" w:rsidP="00286C0F">
      <w:pPr>
        <w:rPr>
          <w:lang w:eastAsia="en-US"/>
        </w:rPr>
      </w:pPr>
    </w:p>
    <w:p w14:paraId="6B6CF379" w14:textId="77777777" w:rsidR="00C47BF0" w:rsidRDefault="00C47BF0" w:rsidP="00286C0F">
      <w:pPr>
        <w:rPr>
          <w:lang w:eastAsia="en-US"/>
        </w:rPr>
      </w:pPr>
    </w:p>
    <w:p w14:paraId="4DC5474B" w14:textId="77777777" w:rsidR="00C47BF0" w:rsidRPr="00286C0F" w:rsidRDefault="00C47BF0" w:rsidP="00286C0F">
      <w:pPr>
        <w:rPr>
          <w:lang w:eastAsia="en-US"/>
        </w:rPr>
      </w:pPr>
    </w:p>
    <w:p w14:paraId="525780E4" w14:textId="7E0D859E" w:rsidR="00E24CFD" w:rsidRPr="00F73D7C" w:rsidRDefault="000570CA" w:rsidP="00F73D7C">
      <w:pPr>
        <w:pStyle w:val="Balk1"/>
        <w:spacing w:before="0" w:line="360" w:lineRule="auto"/>
        <w:jc w:val="center"/>
        <w:rPr>
          <w:rFonts w:ascii="Times New Roman" w:eastAsia="Times New Roman" w:hAnsi="Times New Roman" w:cs="Times New Roman"/>
          <w:color w:val="000000" w:themeColor="text1"/>
          <w:sz w:val="24"/>
          <w:szCs w:val="24"/>
          <w:lang w:eastAsia="en-US"/>
        </w:rPr>
      </w:pPr>
      <w:r w:rsidRPr="00F73D7C">
        <w:rPr>
          <w:rFonts w:ascii="Times New Roman" w:eastAsia="Times New Roman" w:hAnsi="Times New Roman" w:cs="Times New Roman"/>
          <w:color w:val="000000" w:themeColor="text1"/>
          <w:sz w:val="24"/>
          <w:szCs w:val="24"/>
          <w:lang w:eastAsia="en-US"/>
        </w:rPr>
        <w:lastRenderedPageBreak/>
        <w:fldChar w:fldCharType="begin"/>
      </w:r>
      <w:r w:rsidR="00E24CFD" w:rsidRPr="00F73D7C">
        <w:rPr>
          <w:rFonts w:ascii="Times New Roman" w:eastAsia="Times New Roman" w:hAnsi="Times New Roman" w:cs="Times New Roman"/>
          <w:color w:val="000000" w:themeColor="text1"/>
          <w:sz w:val="24"/>
          <w:szCs w:val="24"/>
          <w:lang w:eastAsia="en-US"/>
        </w:rPr>
        <w:instrText xml:space="preserve"> TOC \h \z \c "Şekil" </w:instrText>
      </w:r>
      <w:r w:rsidRPr="00F73D7C">
        <w:rPr>
          <w:rFonts w:ascii="Times New Roman" w:eastAsia="Times New Roman" w:hAnsi="Times New Roman" w:cs="Times New Roman"/>
          <w:color w:val="000000" w:themeColor="text1"/>
          <w:sz w:val="24"/>
          <w:szCs w:val="24"/>
          <w:lang w:eastAsia="en-US"/>
        </w:rPr>
        <w:fldChar w:fldCharType="end"/>
      </w:r>
      <w:bookmarkStart w:id="34" w:name="_Toc64567825"/>
      <w:r w:rsidR="00E24CFD" w:rsidRPr="00F73D7C">
        <w:rPr>
          <w:rFonts w:ascii="Times New Roman" w:eastAsia="Times New Roman" w:hAnsi="Times New Roman" w:cs="Times New Roman"/>
          <w:color w:val="000000" w:themeColor="text1"/>
          <w:sz w:val="24"/>
          <w:szCs w:val="24"/>
          <w:lang w:eastAsia="en-US"/>
        </w:rPr>
        <w:t>TABLOLAR DİZİNİ</w:t>
      </w:r>
      <w:bookmarkEnd w:id="34"/>
    </w:p>
    <w:p w14:paraId="01F88C2A" w14:textId="77777777" w:rsidR="00E24CFD" w:rsidRDefault="00E24CFD" w:rsidP="00333C41">
      <w:pPr>
        <w:spacing w:after="0" w:line="360" w:lineRule="auto"/>
        <w:jc w:val="right"/>
        <w:rPr>
          <w:rFonts w:eastAsia="Calibri"/>
          <w:b/>
          <w:color w:val="auto"/>
          <w:u w:val="single"/>
          <w:lang w:eastAsia="en-US"/>
        </w:rPr>
      </w:pPr>
      <w:r w:rsidRPr="00664EDE">
        <w:rPr>
          <w:rFonts w:eastAsia="Calibri"/>
          <w:b/>
          <w:color w:val="auto"/>
          <w:u w:val="single"/>
          <w:lang w:eastAsia="en-US"/>
        </w:rPr>
        <w:t>Sayfa No</w:t>
      </w:r>
    </w:p>
    <w:p w14:paraId="593423DF" w14:textId="77777777" w:rsidR="00333C41" w:rsidRPr="00664EDE" w:rsidRDefault="00333C41" w:rsidP="00333C41">
      <w:pPr>
        <w:spacing w:after="0" w:line="240" w:lineRule="auto"/>
        <w:jc w:val="right"/>
        <w:rPr>
          <w:rFonts w:eastAsia="Calibri"/>
          <w:b/>
          <w:color w:val="auto"/>
          <w:u w:val="single"/>
          <w:lang w:eastAsia="en-US"/>
        </w:rPr>
      </w:pPr>
    </w:p>
    <w:p w14:paraId="4770C2E9" w14:textId="6830E3EA" w:rsidR="00DC4574" w:rsidRPr="00285CB1" w:rsidRDefault="00DC4574" w:rsidP="00183CFE">
      <w:pPr>
        <w:tabs>
          <w:tab w:val="left" w:pos="1418"/>
          <w:tab w:val="right" w:leader="dot" w:pos="8931"/>
        </w:tabs>
        <w:spacing w:after="120" w:line="240" w:lineRule="auto"/>
        <w:ind w:left="1418" w:right="680" w:hanging="1418"/>
        <w:jc w:val="both"/>
        <w:rPr>
          <w:rFonts w:eastAsia="Times New Roman"/>
          <w:kern w:val="16"/>
        </w:rPr>
      </w:pPr>
      <w:r w:rsidRPr="00285CB1">
        <w:rPr>
          <w:rFonts w:eastAsia="Times New Roman"/>
          <w:kern w:val="16"/>
        </w:rPr>
        <w:t xml:space="preserve">Tablo 2.1.   </w:t>
      </w:r>
      <w:r w:rsidRPr="00285CB1">
        <w:rPr>
          <w:rFonts w:eastAsia="Times New Roman"/>
          <w:kern w:val="16"/>
        </w:rPr>
        <w:tab/>
        <w:t>Kullanılan bakteriler ve kodları</w:t>
      </w:r>
      <w:r w:rsidRPr="00285CB1">
        <w:rPr>
          <w:rFonts w:eastAsia="Times New Roman"/>
          <w:kern w:val="16"/>
        </w:rPr>
        <w:tab/>
      </w:r>
      <w:r w:rsidR="00117CEF">
        <w:rPr>
          <w:rFonts w:eastAsia="Times New Roman"/>
          <w:kern w:val="16"/>
        </w:rPr>
        <w:t>1</w:t>
      </w:r>
      <w:r w:rsidR="00E96823">
        <w:rPr>
          <w:rFonts w:eastAsia="Times New Roman"/>
          <w:kern w:val="16"/>
        </w:rPr>
        <w:t>6</w:t>
      </w:r>
    </w:p>
    <w:p w14:paraId="4BF238B7" w14:textId="5CC6026E" w:rsidR="00DC4574" w:rsidRPr="00285CB1" w:rsidRDefault="00DC4574" w:rsidP="00C47BF0">
      <w:pPr>
        <w:tabs>
          <w:tab w:val="left" w:pos="1418"/>
          <w:tab w:val="right" w:leader="dot" w:pos="8931"/>
        </w:tabs>
        <w:spacing w:after="120" w:line="240" w:lineRule="auto"/>
        <w:ind w:left="1418" w:right="680" w:hanging="1418"/>
        <w:jc w:val="both"/>
        <w:rPr>
          <w:rFonts w:eastAsia="Times New Roman"/>
          <w:kern w:val="16"/>
        </w:rPr>
      </w:pPr>
      <w:r w:rsidRPr="00285CB1">
        <w:rPr>
          <w:rFonts w:eastAsia="Times New Roman"/>
          <w:kern w:val="16"/>
        </w:rPr>
        <w:t xml:space="preserve">Tablo 2.2.     </w:t>
      </w:r>
      <w:r w:rsidRPr="00285CB1">
        <w:rPr>
          <w:rFonts w:eastAsia="Times New Roman"/>
          <w:kern w:val="16"/>
        </w:rPr>
        <w:tab/>
        <w:t>Yararlanılan alet ve cihazlar</w:t>
      </w:r>
      <w:r w:rsidRPr="00285CB1">
        <w:rPr>
          <w:rFonts w:eastAsia="Times New Roman"/>
          <w:kern w:val="16"/>
        </w:rPr>
        <w:tab/>
      </w:r>
      <w:r w:rsidR="00117CEF">
        <w:rPr>
          <w:rFonts w:eastAsia="Times New Roman"/>
          <w:kern w:val="16"/>
        </w:rPr>
        <w:t>1</w:t>
      </w:r>
      <w:r w:rsidR="00E96823">
        <w:rPr>
          <w:rFonts w:eastAsia="Times New Roman"/>
          <w:kern w:val="16"/>
        </w:rPr>
        <w:t>6</w:t>
      </w:r>
    </w:p>
    <w:p w14:paraId="267696AE" w14:textId="5BE36276" w:rsidR="00DC4574" w:rsidRPr="00285CB1" w:rsidRDefault="00DC4574" w:rsidP="00183CFE">
      <w:pPr>
        <w:tabs>
          <w:tab w:val="left" w:pos="1418"/>
          <w:tab w:val="right" w:leader="dot" w:pos="8931"/>
        </w:tabs>
        <w:spacing w:after="120" w:line="240" w:lineRule="auto"/>
        <w:ind w:left="1418" w:right="286" w:hanging="1418"/>
        <w:jc w:val="both"/>
        <w:rPr>
          <w:rFonts w:eastAsia="Times New Roman"/>
          <w:color w:val="212121"/>
          <w:kern w:val="16"/>
        </w:rPr>
      </w:pPr>
      <w:r w:rsidRPr="00285CB1">
        <w:rPr>
          <w:rFonts w:eastAsia="Times New Roman"/>
          <w:kern w:val="16"/>
        </w:rPr>
        <w:t xml:space="preserve">Tablo 2.3.     </w:t>
      </w:r>
      <w:r w:rsidRPr="00285CB1">
        <w:rPr>
          <w:rFonts w:eastAsia="Times New Roman"/>
          <w:kern w:val="16"/>
        </w:rPr>
        <w:tab/>
        <w:t>Asetilkolinesteraz enzim aktivite tayin yöntemi için kullanılan küvet içeriği ve miktarları</w:t>
      </w:r>
      <w:r w:rsidRPr="00285CB1">
        <w:rPr>
          <w:rFonts w:eastAsia="Times New Roman"/>
          <w:kern w:val="16"/>
        </w:rPr>
        <w:tab/>
      </w:r>
      <w:r w:rsidR="00117CEF">
        <w:rPr>
          <w:rFonts w:eastAsia="Times New Roman"/>
          <w:kern w:val="16"/>
        </w:rPr>
        <w:t>1</w:t>
      </w:r>
      <w:r w:rsidR="00E96823">
        <w:rPr>
          <w:rFonts w:eastAsia="Times New Roman"/>
          <w:kern w:val="16"/>
        </w:rPr>
        <w:t>8</w:t>
      </w:r>
    </w:p>
    <w:p w14:paraId="2E7F4EA7" w14:textId="21C9DA7C" w:rsidR="00DC4574" w:rsidRDefault="00DC4574" w:rsidP="00183CFE">
      <w:pPr>
        <w:tabs>
          <w:tab w:val="left" w:pos="1418"/>
          <w:tab w:val="right" w:leader="dot" w:pos="8931"/>
        </w:tabs>
        <w:spacing w:after="120" w:line="240" w:lineRule="auto"/>
        <w:ind w:left="1418" w:right="286" w:hanging="1418"/>
        <w:jc w:val="both"/>
        <w:rPr>
          <w:rFonts w:eastAsia="Times New Roman"/>
          <w:kern w:val="16"/>
        </w:rPr>
      </w:pPr>
      <w:r w:rsidRPr="00285CB1">
        <w:rPr>
          <w:rFonts w:eastAsia="Times New Roman"/>
          <w:kern w:val="16"/>
        </w:rPr>
        <w:t xml:space="preserve">Tablo 2.4.     </w:t>
      </w:r>
      <w:r w:rsidRPr="00285CB1">
        <w:rPr>
          <w:rFonts w:eastAsia="Times New Roman"/>
          <w:kern w:val="16"/>
        </w:rPr>
        <w:tab/>
        <w:t>Bütirilkolinesteraz enzim aktivitesi tayin yöntemi için kullanılacak küvet içeriği ve miktarları</w:t>
      </w:r>
      <w:r w:rsidRPr="00285CB1">
        <w:rPr>
          <w:rFonts w:eastAsia="Times New Roman"/>
          <w:kern w:val="16"/>
        </w:rPr>
        <w:tab/>
      </w:r>
      <w:r w:rsidR="00E96823">
        <w:rPr>
          <w:rFonts w:eastAsia="Times New Roman"/>
          <w:kern w:val="16"/>
        </w:rPr>
        <w:t>19</w:t>
      </w:r>
    </w:p>
    <w:p w14:paraId="3DFF1A11" w14:textId="52E05BB2" w:rsidR="00991836" w:rsidRPr="00285CB1" w:rsidRDefault="00991836" w:rsidP="00183CFE">
      <w:pPr>
        <w:tabs>
          <w:tab w:val="left" w:pos="1418"/>
          <w:tab w:val="right" w:leader="dot" w:pos="8931"/>
        </w:tabs>
        <w:spacing w:after="120" w:line="240" w:lineRule="auto"/>
        <w:ind w:left="1418" w:right="286" w:hanging="1418"/>
        <w:jc w:val="both"/>
        <w:rPr>
          <w:rFonts w:eastAsia="Times New Roman"/>
          <w:kern w:val="16"/>
        </w:rPr>
      </w:pPr>
      <w:r w:rsidRPr="00285CB1">
        <w:rPr>
          <w:rFonts w:eastAsia="Times New Roman"/>
          <w:kern w:val="16"/>
        </w:rPr>
        <w:t xml:space="preserve">Tablo </w:t>
      </w:r>
      <w:r>
        <w:rPr>
          <w:rFonts w:eastAsia="Times New Roman"/>
          <w:kern w:val="16"/>
        </w:rPr>
        <w:t>3.1</w:t>
      </w:r>
      <w:r w:rsidRPr="00285CB1">
        <w:rPr>
          <w:rFonts w:eastAsia="Times New Roman"/>
          <w:kern w:val="16"/>
        </w:rPr>
        <w:t xml:space="preserve">.     </w:t>
      </w:r>
      <w:r w:rsidRPr="00285CB1">
        <w:rPr>
          <w:rFonts w:eastAsia="Times New Roman"/>
          <w:kern w:val="16"/>
        </w:rPr>
        <w:tab/>
      </w:r>
      <w:r w:rsidRPr="00991836">
        <w:rPr>
          <w:rFonts w:eastAsia="Times New Roman"/>
          <w:kern w:val="16"/>
        </w:rPr>
        <w:t>Asetilkolinesteraz enzimi üzerine inhibisyon etkisi gösteren bileşiklerin IC</w:t>
      </w:r>
      <w:r w:rsidRPr="00CC150A">
        <w:rPr>
          <w:rFonts w:eastAsia="Times New Roman"/>
          <w:kern w:val="16"/>
          <w:vertAlign w:val="subscript"/>
        </w:rPr>
        <w:t>50</w:t>
      </w:r>
      <w:r w:rsidRPr="00991836">
        <w:rPr>
          <w:rFonts w:eastAsia="Times New Roman"/>
          <w:kern w:val="16"/>
        </w:rPr>
        <w:t xml:space="preserve"> değerleri, ki değerleri ve inhibisyon türleri</w:t>
      </w:r>
      <w:r w:rsidRPr="00285CB1">
        <w:rPr>
          <w:rFonts w:eastAsia="Times New Roman"/>
          <w:kern w:val="16"/>
        </w:rPr>
        <w:tab/>
      </w:r>
      <w:r w:rsidR="00117CEF">
        <w:rPr>
          <w:rFonts w:eastAsia="Times New Roman"/>
          <w:kern w:val="16"/>
        </w:rPr>
        <w:t>2</w:t>
      </w:r>
      <w:r w:rsidR="00E96823">
        <w:rPr>
          <w:rFonts w:eastAsia="Times New Roman"/>
          <w:kern w:val="16"/>
        </w:rPr>
        <w:t>3</w:t>
      </w:r>
    </w:p>
    <w:p w14:paraId="475C6E85" w14:textId="74343F50" w:rsidR="00DC4574" w:rsidRDefault="00DC4574" w:rsidP="00183CFE">
      <w:pPr>
        <w:tabs>
          <w:tab w:val="left" w:pos="1418"/>
          <w:tab w:val="right" w:leader="dot" w:pos="8931"/>
        </w:tabs>
        <w:spacing w:after="120" w:line="240" w:lineRule="auto"/>
        <w:ind w:left="1418" w:right="286" w:hanging="1418"/>
        <w:jc w:val="both"/>
        <w:rPr>
          <w:rFonts w:eastAsia="Times New Roman"/>
          <w:kern w:val="16"/>
        </w:rPr>
      </w:pPr>
      <w:r w:rsidRPr="00285CB1">
        <w:rPr>
          <w:rFonts w:eastAsia="Times New Roman"/>
          <w:kern w:val="16"/>
        </w:rPr>
        <w:t xml:space="preserve">Tablo 3.2.     </w:t>
      </w:r>
      <w:r w:rsidRPr="00285CB1">
        <w:rPr>
          <w:rFonts w:eastAsia="Times New Roman"/>
          <w:kern w:val="16"/>
        </w:rPr>
        <w:tab/>
      </w:r>
      <w:r>
        <w:t>Bütüril</w:t>
      </w:r>
      <w:r w:rsidRPr="00BF07FB">
        <w:t>kolinesteraz enzimi üzerine inh</w:t>
      </w:r>
      <w:r>
        <w:t xml:space="preserve">ibisyon etkisi gösteren </w:t>
      </w:r>
      <w:r w:rsidRPr="00BF07FB">
        <w:t>bileşiklerin IC</w:t>
      </w:r>
      <w:r w:rsidRPr="0073006C">
        <w:rPr>
          <w:vertAlign w:val="subscript"/>
        </w:rPr>
        <w:t>50</w:t>
      </w:r>
      <w:r>
        <w:t xml:space="preserve"> değerleri, k</w:t>
      </w:r>
      <w:r w:rsidRPr="003B144F">
        <w:rPr>
          <w:vertAlign w:val="subscript"/>
        </w:rPr>
        <w:t xml:space="preserve">i </w:t>
      </w:r>
      <w:r>
        <w:t>değerleri ve</w:t>
      </w:r>
      <w:r w:rsidRPr="00BF07FB">
        <w:t xml:space="preserve"> inhibisyon türleri</w:t>
      </w:r>
      <w:r w:rsidRPr="00285CB1">
        <w:rPr>
          <w:rFonts w:eastAsia="Times New Roman"/>
          <w:kern w:val="16"/>
        </w:rPr>
        <w:tab/>
      </w:r>
      <w:r w:rsidR="00117CEF">
        <w:rPr>
          <w:rFonts w:eastAsia="Times New Roman"/>
          <w:kern w:val="16"/>
        </w:rPr>
        <w:t>2</w:t>
      </w:r>
      <w:r w:rsidR="00E96823">
        <w:rPr>
          <w:rFonts w:eastAsia="Times New Roman"/>
          <w:kern w:val="16"/>
        </w:rPr>
        <w:t>6</w:t>
      </w:r>
    </w:p>
    <w:p w14:paraId="2E0DF49C" w14:textId="76D75E2D" w:rsidR="00CB5DD4" w:rsidRDefault="00CB5DD4" w:rsidP="00183CFE">
      <w:pPr>
        <w:tabs>
          <w:tab w:val="left" w:pos="1418"/>
          <w:tab w:val="right" w:leader="dot" w:pos="8931"/>
        </w:tabs>
        <w:spacing w:after="120" w:line="240" w:lineRule="auto"/>
        <w:ind w:left="1418" w:right="286" w:hanging="1418"/>
        <w:jc w:val="both"/>
        <w:rPr>
          <w:rFonts w:eastAsia="Times New Roman"/>
          <w:kern w:val="16"/>
        </w:rPr>
      </w:pPr>
      <w:r>
        <w:rPr>
          <w:rFonts w:eastAsia="Times New Roman"/>
          <w:kern w:val="16"/>
        </w:rPr>
        <w:t>Tablo 3.3</w:t>
      </w:r>
      <w:r w:rsidRPr="00285CB1">
        <w:rPr>
          <w:rFonts w:eastAsia="Times New Roman"/>
          <w:kern w:val="16"/>
        </w:rPr>
        <w:t xml:space="preserve">.     </w:t>
      </w:r>
      <w:r w:rsidRPr="00285CB1">
        <w:rPr>
          <w:rFonts w:eastAsia="Times New Roman"/>
          <w:kern w:val="16"/>
        </w:rPr>
        <w:tab/>
      </w:r>
      <w:r w:rsidRPr="00CB5DD4">
        <w:t>Asetilkolinesteraz enzimi üzerine inhibisyon etkisi gösteren donepezilin IC</w:t>
      </w:r>
      <w:r w:rsidRPr="009C3FE6">
        <w:rPr>
          <w:vertAlign w:val="subscript"/>
        </w:rPr>
        <w:t>50</w:t>
      </w:r>
      <w:r w:rsidRPr="00CB5DD4">
        <w:t xml:space="preserve"> değeri, ki değeri ve inhibisyon türü</w:t>
      </w:r>
      <w:r w:rsidRPr="00285CB1">
        <w:rPr>
          <w:rFonts w:eastAsia="Times New Roman"/>
          <w:kern w:val="16"/>
        </w:rPr>
        <w:tab/>
      </w:r>
      <w:r w:rsidR="00117CEF">
        <w:rPr>
          <w:rFonts w:eastAsia="Times New Roman"/>
          <w:kern w:val="16"/>
        </w:rPr>
        <w:t>2</w:t>
      </w:r>
      <w:r w:rsidR="00E96823">
        <w:rPr>
          <w:rFonts w:eastAsia="Times New Roman"/>
          <w:kern w:val="16"/>
        </w:rPr>
        <w:t>8</w:t>
      </w:r>
    </w:p>
    <w:p w14:paraId="4008BE02" w14:textId="517C617C" w:rsidR="00DC4574" w:rsidRPr="00285CB1" w:rsidRDefault="00CB5DD4" w:rsidP="00183CFE">
      <w:pPr>
        <w:tabs>
          <w:tab w:val="left" w:pos="1418"/>
          <w:tab w:val="right" w:leader="dot" w:pos="8931"/>
        </w:tabs>
        <w:spacing w:after="120" w:line="240" w:lineRule="auto"/>
        <w:ind w:left="1418" w:right="286" w:hanging="1418"/>
        <w:jc w:val="both"/>
        <w:rPr>
          <w:rFonts w:eastAsia="Times New Roman"/>
          <w:kern w:val="16"/>
        </w:rPr>
      </w:pPr>
      <w:r>
        <w:rPr>
          <w:rFonts w:eastAsia="Times New Roman"/>
          <w:kern w:val="16"/>
        </w:rPr>
        <w:t>Tablo 3.4</w:t>
      </w:r>
      <w:r w:rsidR="00DC4574" w:rsidRPr="00285CB1">
        <w:rPr>
          <w:rFonts w:eastAsia="Times New Roman"/>
          <w:kern w:val="16"/>
        </w:rPr>
        <w:t>.</w:t>
      </w:r>
      <w:r w:rsidR="00DC4574" w:rsidRPr="00285CB1">
        <w:rPr>
          <w:rFonts w:eastAsia="Times New Roman"/>
          <w:kern w:val="16"/>
        </w:rPr>
        <w:tab/>
        <w:t>Etanolde ve DMSO’da çözünen (1-metil-4-hidroksi-4-fenilpiperidin-3-il)(fenil)metanon bileşiğinin (30 mg/mL) ve pozitif kontrollerin (Ampisilin/Sulbaktam, Basitrasin) 7 bakteri suşuna karşı oluşturdukları inhibisyon zon çapları</w:t>
      </w:r>
      <w:r w:rsidR="00DC4574" w:rsidRPr="00285CB1">
        <w:rPr>
          <w:rFonts w:eastAsia="Times New Roman"/>
          <w:kern w:val="16"/>
        </w:rPr>
        <w:tab/>
      </w:r>
      <w:r w:rsidR="00E96823">
        <w:rPr>
          <w:rFonts w:eastAsia="Times New Roman"/>
          <w:kern w:val="16"/>
        </w:rPr>
        <w:t>29</w:t>
      </w:r>
    </w:p>
    <w:p w14:paraId="2A6E1677" w14:textId="4BA926DB" w:rsidR="00DC4574" w:rsidRPr="00285CB1" w:rsidRDefault="00DC4574" w:rsidP="00183CFE">
      <w:pPr>
        <w:tabs>
          <w:tab w:val="left" w:pos="1418"/>
          <w:tab w:val="right" w:leader="dot" w:pos="8931"/>
        </w:tabs>
        <w:spacing w:after="120" w:line="240" w:lineRule="auto"/>
        <w:ind w:left="1418" w:right="286" w:hanging="1418"/>
        <w:jc w:val="both"/>
        <w:rPr>
          <w:rFonts w:eastAsia="Times New Roman"/>
          <w:kern w:val="16"/>
        </w:rPr>
      </w:pPr>
      <w:r w:rsidRPr="00285CB1">
        <w:rPr>
          <w:rFonts w:eastAsia="Times New Roman"/>
          <w:kern w:val="16"/>
        </w:rPr>
        <w:t>Tablo</w:t>
      </w:r>
      <w:r w:rsidR="00CB5DD4">
        <w:rPr>
          <w:rFonts w:eastAsia="Times New Roman"/>
          <w:kern w:val="16"/>
        </w:rPr>
        <w:t xml:space="preserve"> 3.5</w:t>
      </w:r>
      <w:r w:rsidRPr="00285CB1">
        <w:rPr>
          <w:rFonts w:eastAsia="Times New Roman"/>
          <w:kern w:val="16"/>
        </w:rPr>
        <w:t xml:space="preserve">.     </w:t>
      </w:r>
      <w:r w:rsidRPr="00285CB1">
        <w:rPr>
          <w:rFonts w:eastAsia="Times New Roman"/>
          <w:kern w:val="16"/>
        </w:rPr>
        <w:tab/>
      </w:r>
      <w:r>
        <w:rPr>
          <w:rFonts w:eastAsia="Times New Roman"/>
          <w:kern w:val="16"/>
        </w:rPr>
        <w:t>Etanolde ve DMSO da çözünen (1-</w:t>
      </w:r>
      <w:r w:rsidRPr="00285CB1">
        <w:rPr>
          <w:rFonts w:eastAsia="Times New Roman"/>
          <w:kern w:val="16"/>
        </w:rPr>
        <w:t>etil-4-hidroksi-4-fenilpiperidin-3-il)(fenil)metanon bileşiğinin (30 mg/mL) ve pozitif kontrollerin (Ampisilin/Sulbaktam, Basitrasin) 7 bakteri suşuna karşı oluşturdukları inhibisyon zon çapları</w:t>
      </w:r>
      <w:r w:rsidRPr="00285CB1">
        <w:rPr>
          <w:rFonts w:eastAsia="Times New Roman"/>
          <w:kern w:val="16"/>
        </w:rPr>
        <w:tab/>
      </w:r>
      <w:r w:rsidR="00E96823">
        <w:rPr>
          <w:rFonts w:eastAsia="Times New Roman"/>
          <w:kern w:val="16"/>
        </w:rPr>
        <w:t>29</w:t>
      </w:r>
    </w:p>
    <w:p w14:paraId="327FF7DC" w14:textId="77777777" w:rsidR="00FD0669" w:rsidRPr="00664EDE" w:rsidRDefault="00CB2A5B" w:rsidP="005E0C08">
      <w:pPr>
        <w:rPr>
          <w:bCs/>
        </w:rPr>
      </w:pPr>
      <w:r w:rsidRPr="00664EDE">
        <w:rPr>
          <w:bCs/>
        </w:rPr>
        <w:br w:type="page"/>
      </w:r>
      <w:bookmarkStart w:id="35" w:name="_Toc11358671"/>
      <w:bookmarkStart w:id="36" w:name="_Toc12097178"/>
      <w:bookmarkStart w:id="37" w:name="_Toc12097634"/>
      <w:bookmarkStart w:id="38" w:name="_Toc12097918"/>
      <w:bookmarkStart w:id="39" w:name="_Toc12864114"/>
    </w:p>
    <w:p w14:paraId="72547169" w14:textId="6DB02A9A" w:rsidR="00BD06AE" w:rsidRPr="00664EDE" w:rsidRDefault="00843A5D" w:rsidP="00DB6759">
      <w:pPr>
        <w:pStyle w:val="ListeParagraf"/>
        <w:tabs>
          <w:tab w:val="left" w:pos="3045"/>
        </w:tabs>
        <w:spacing w:before="720" w:line="360" w:lineRule="auto"/>
        <w:ind w:left="357"/>
        <w:jc w:val="center"/>
        <w:outlineLvl w:val="0"/>
        <w:rPr>
          <w:b/>
          <w:bCs/>
        </w:rPr>
      </w:pPr>
      <w:bookmarkStart w:id="40" w:name="_Toc12954898"/>
      <w:bookmarkStart w:id="41" w:name="_Toc12956495"/>
      <w:bookmarkStart w:id="42" w:name="_Toc12956578"/>
      <w:bookmarkStart w:id="43" w:name="_Toc64567826"/>
      <w:r w:rsidRPr="00616806">
        <w:rPr>
          <w:b/>
          <w:bCs/>
        </w:rPr>
        <w:lastRenderedPageBreak/>
        <w:t xml:space="preserve">SEMBOLLER </w:t>
      </w:r>
      <w:r w:rsidR="00901650">
        <w:rPr>
          <w:b/>
          <w:bCs/>
        </w:rPr>
        <w:t>ve</w:t>
      </w:r>
      <w:r w:rsidRPr="00616806">
        <w:rPr>
          <w:b/>
          <w:bCs/>
        </w:rPr>
        <w:t xml:space="preserve"> K</w:t>
      </w:r>
      <w:r w:rsidR="00BD06AE" w:rsidRPr="00616806">
        <w:rPr>
          <w:b/>
          <w:bCs/>
        </w:rPr>
        <w:t>ISALTMALAR DİZİNİ</w:t>
      </w:r>
      <w:bookmarkEnd w:id="35"/>
      <w:bookmarkEnd w:id="36"/>
      <w:bookmarkEnd w:id="37"/>
      <w:bookmarkEnd w:id="38"/>
      <w:bookmarkEnd w:id="39"/>
      <w:bookmarkEnd w:id="40"/>
      <w:bookmarkEnd w:id="41"/>
      <w:bookmarkEnd w:id="42"/>
      <w:bookmarkEnd w:id="43"/>
    </w:p>
    <w:p w14:paraId="2C8FB5B8" w14:textId="5B30F0BC" w:rsidR="0055165D" w:rsidRPr="00664EDE" w:rsidRDefault="00CC2518" w:rsidP="00FD0669">
      <w:pPr>
        <w:tabs>
          <w:tab w:val="left" w:pos="1418"/>
        </w:tabs>
        <w:spacing w:line="360" w:lineRule="auto"/>
        <w:jc w:val="both"/>
        <w:rPr>
          <w:b/>
          <w:bCs/>
          <w:u w:val="single"/>
        </w:rPr>
      </w:pPr>
      <w:r w:rsidRPr="00664EDE">
        <w:rPr>
          <w:b/>
          <w:bCs/>
        </w:rPr>
        <w:tab/>
      </w:r>
      <w:r w:rsidR="00DC1B56" w:rsidRPr="00664EDE">
        <w:rPr>
          <w:b/>
          <w:bCs/>
        </w:rPr>
        <w:t xml:space="preserve">  </w:t>
      </w:r>
      <w:r w:rsidR="00DC4574">
        <w:rPr>
          <w:b/>
          <w:bCs/>
        </w:rPr>
        <w:t xml:space="preserve">        </w:t>
      </w:r>
      <w:r w:rsidR="00DC1B56" w:rsidRPr="00664EDE">
        <w:rPr>
          <w:b/>
          <w:bCs/>
        </w:rPr>
        <w:t xml:space="preserve"> </w:t>
      </w:r>
      <w:r w:rsidR="00DB6759">
        <w:rPr>
          <w:b/>
          <w:bCs/>
        </w:rPr>
        <w:t xml:space="preserve"> </w:t>
      </w:r>
    </w:p>
    <w:p w14:paraId="0942BF67" w14:textId="14747266" w:rsidR="00DC4574" w:rsidRPr="00DC4574" w:rsidRDefault="00DC4574" w:rsidP="00DC4574">
      <w:pPr>
        <w:widowControl w:val="0"/>
        <w:spacing w:after="0" w:line="240" w:lineRule="auto"/>
        <w:jc w:val="both"/>
        <w:rPr>
          <w:rFonts w:eastAsia="Times New Roman"/>
          <w:color w:val="auto"/>
          <w:highlight w:val="yellow"/>
          <w:lang w:val="en-US"/>
        </w:rPr>
      </w:pPr>
      <w:r w:rsidRPr="00DC4574">
        <w:rPr>
          <w:rFonts w:eastAsia="Times New Roman"/>
          <w:color w:val="auto"/>
          <w:lang w:val="en-US"/>
        </w:rPr>
        <w:t>A</w:t>
      </w:r>
      <w:r w:rsidR="00433DFD">
        <w:rPr>
          <w:rFonts w:eastAsia="Times New Roman"/>
          <w:color w:val="auto"/>
          <w:lang w:val="en-US"/>
        </w:rPr>
        <w:t>C</w:t>
      </w:r>
      <w:r w:rsidRPr="00DC4574">
        <w:rPr>
          <w:rFonts w:eastAsia="Times New Roman"/>
          <w:color w:val="auto"/>
          <w:lang w:val="en-US"/>
        </w:rPr>
        <w:t>h</w:t>
      </w:r>
      <w:r w:rsidR="00890657">
        <w:rPr>
          <w:rFonts w:eastAsia="Times New Roman"/>
          <w:color w:val="auto"/>
          <w:lang w:val="en-US"/>
        </w:rPr>
        <w:tab/>
      </w:r>
      <w:r w:rsidR="00890657">
        <w:rPr>
          <w:rFonts w:eastAsia="Times New Roman"/>
          <w:color w:val="auto"/>
          <w:lang w:val="en-US"/>
        </w:rPr>
        <w:tab/>
      </w:r>
      <w:r w:rsidRPr="00DC4574">
        <w:rPr>
          <w:rFonts w:eastAsia="Times New Roman"/>
          <w:color w:val="auto"/>
          <w:lang w:val="en-US"/>
        </w:rPr>
        <w:t>: Asetilkolin</w:t>
      </w:r>
    </w:p>
    <w:p w14:paraId="60B581B2" w14:textId="2D68170F" w:rsidR="00DC4574" w:rsidRDefault="00DC4574" w:rsidP="00DC4574">
      <w:pPr>
        <w:widowControl w:val="0"/>
        <w:spacing w:after="0" w:line="240" w:lineRule="auto"/>
        <w:jc w:val="both"/>
        <w:rPr>
          <w:rFonts w:eastAsia="Times New Roman"/>
          <w:color w:val="auto"/>
          <w:lang w:val="en-US"/>
        </w:rPr>
      </w:pPr>
      <w:r w:rsidRPr="00DC4574">
        <w:rPr>
          <w:rFonts w:eastAsia="Times New Roman"/>
          <w:color w:val="auto"/>
          <w:lang w:val="en-US"/>
        </w:rPr>
        <w:t>A</w:t>
      </w:r>
      <w:r>
        <w:rPr>
          <w:rFonts w:eastAsia="Times New Roman"/>
          <w:color w:val="auto"/>
          <w:lang w:val="en-US"/>
        </w:rPr>
        <w:t>ChE</w:t>
      </w:r>
      <w:r w:rsidR="00890657">
        <w:rPr>
          <w:rFonts w:eastAsia="Times New Roman"/>
          <w:color w:val="auto"/>
          <w:lang w:val="en-US"/>
        </w:rPr>
        <w:tab/>
      </w:r>
      <w:r w:rsidRPr="00DC4574">
        <w:rPr>
          <w:rFonts w:eastAsia="Times New Roman"/>
          <w:color w:val="auto"/>
          <w:lang w:val="en-US"/>
        </w:rPr>
        <w:t>: Asetilkolinesteraz</w:t>
      </w:r>
    </w:p>
    <w:p w14:paraId="1F60C61C" w14:textId="525BB675" w:rsidR="00743317" w:rsidRPr="00DC4574" w:rsidRDefault="00743317" w:rsidP="00DC4574">
      <w:pPr>
        <w:widowControl w:val="0"/>
        <w:spacing w:after="0" w:line="240" w:lineRule="auto"/>
        <w:jc w:val="both"/>
        <w:rPr>
          <w:rFonts w:eastAsia="Times New Roman"/>
          <w:color w:val="auto"/>
          <w:lang w:val="en-US"/>
        </w:rPr>
      </w:pPr>
      <w:r>
        <w:rPr>
          <w:rFonts w:eastAsia="Times New Roman"/>
          <w:color w:val="auto"/>
          <w:lang w:val="en-US"/>
        </w:rPr>
        <w:t>ATP</w:t>
      </w:r>
      <w:r w:rsidR="00890657">
        <w:rPr>
          <w:rFonts w:eastAsia="Times New Roman"/>
          <w:color w:val="auto"/>
          <w:lang w:val="en-US"/>
        </w:rPr>
        <w:tab/>
      </w:r>
      <w:r w:rsidR="00890657">
        <w:rPr>
          <w:rFonts w:eastAsia="Times New Roman"/>
          <w:color w:val="auto"/>
          <w:lang w:val="en-US"/>
        </w:rPr>
        <w:tab/>
      </w:r>
      <w:r>
        <w:rPr>
          <w:rFonts w:eastAsia="Times New Roman"/>
          <w:color w:val="auto"/>
          <w:lang w:val="en-US"/>
        </w:rPr>
        <w:t>: Adenozin</w:t>
      </w:r>
      <w:r w:rsidR="00B00760">
        <w:rPr>
          <w:rFonts w:eastAsia="Times New Roman"/>
          <w:color w:val="auto"/>
          <w:lang w:val="en-US"/>
        </w:rPr>
        <w:t xml:space="preserve"> </w:t>
      </w:r>
      <w:r>
        <w:rPr>
          <w:rFonts w:eastAsia="Times New Roman"/>
          <w:color w:val="auto"/>
          <w:lang w:val="en-US"/>
        </w:rPr>
        <w:t>trifosfat</w:t>
      </w:r>
    </w:p>
    <w:p w14:paraId="2E3D7B1B" w14:textId="41C5718F" w:rsidR="00DC4574" w:rsidRPr="00DC4574" w:rsidRDefault="00901650" w:rsidP="00890657">
      <w:pPr>
        <w:widowControl w:val="0"/>
        <w:spacing w:after="0" w:line="240" w:lineRule="auto"/>
        <w:jc w:val="both"/>
        <w:rPr>
          <w:rFonts w:eastAsia="Times New Roman"/>
          <w:color w:val="auto"/>
          <w:lang w:val="en-US"/>
        </w:rPr>
      </w:pPr>
      <w:r>
        <w:rPr>
          <w:rFonts w:eastAsia="Times New Roman"/>
          <w:color w:val="auto"/>
          <w:lang w:val="en-US"/>
        </w:rPr>
        <w:t>BChE</w:t>
      </w:r>
      <w:r w:rsidR="00890657">
        <w:rPr>
          <w:rFonts w:eastAsia="Times New Roman"/>
          <w:color w:val="auto"/>
          <w:lang w:val="en-US"/>
        </w:rPr>
        <w:tab/>
      </w:r>
      <w:r w:rsidR="00DC4574" w:rsidRPr="00DC4574">
        <w:rPr>
          <w:rFonts w:eastAsia="Times New Roman"/>
          <w:color w:val="auto"/>
          <w:lang w:val="en-US"/>
        </w:rPr>
        <w:t>: Bütirilkolinesteraz</w:t>
      </w:r>
    </w:p>
    <w:p w14:paraId="07A894CD" w14:textId="4EA247D3" w:rsidR="00DC4574" w:rsidRPr="00DC4574" w:rsidRDefault="00901650" w:rsidP="00890657">
      <w:pPr>
        <w:widowControl w:val="0"/>
        <w:spacing w:after="0" w:line="240" w:lineRule="auto"/>
        <w:jc w:val="both"/>
        <w:rPr>
          <w:rFonts w:eastAsia="Times New Roman"/>
          <w:color w:val="auto"/>
          <w:lang w:val="en-US"/>
        </w:rPr>
      </w:pPr>
      <w:r>
        <w:rPr>
          <w:rFonts w:eastAsia="Times New Roman"/>
          <w:color w:val="auto"/>
          <w:lang w:val="en-US"/>
        </w:rPr>
        <w:t>DMSO</w:t>
      </w:r>
      <w:r w:rsidR="00890657">
        <w:rPr>
          <w:rFonts w:eastAsia="Times New Roman"/>
          <w:color w:val="auto"/>
          <w:lang w:val="en-US"/>
        </w:rPr>
        <w:tab/>
      </w:r>
      <w:r w:rsidR="00DC4574" w:rsidRPr="00DC4574">
        <w:rPr>
          <w:rFonts w:eastAsia="Times New Roman"/>
          <w:color w:val="auto"/>
          <w:lang w:val="en-US"/>
        </w:rPr>
        <w:t xml:space="preserve">: </w:t>
      </w:r>
      <w:r w:rsidR="003D3207" w:rsidRPr="00DC4574">
        <w:rPr>
          <w:rFonts w:eastAsia="Times New Roman"/>
          <w:color w:val="auto"/>
          <w:lang w:val="en-US"/>
        </w:rPr>
        <w:t xml:space="preserve">Dimetil sülfoksit </w:t>
      </w:r>
    </w:p>
    <w:p w14:paraId="696135B7" w14:textId="42AA516E" w:rsidR="00DC4574" w:rsidRPr="00DC4574" w:rsidRDefault="00901650" w:rsidP="00890657">
      <w:pPr>
        <w:widowControl w:val="0"/>
        <w:spacing w:after="0" w:line="240" w:lineRule="auto"/>
        <w:jc w:val="both"/>
        <w:rPr>
          <w:rFonts w:eastAsia="Times New Roman"/>
          <w:color w:val="auto"/>
          <w:lang w:val="en-US"/>
        </w:rPr>
      </w:pPr>
      <w:r>
        <w:rPr>
          <w:rFonts w:eastAsia="Times New Roman"/>
          <w:color w:val="auto"/>
          <w:lang w:val="en-US"/>
        </w:rPr>
        <w:t>DTMB</w:t>
      </w:r>
      <w:r w:rsidR="00890657">
        <w:rPr>
          <w:rFonts w:eastAsia="Times New Roman"/>
          <w:color w:val="auto"/>
          <w:lang w:val="en-US"/>
        </w:rPr>
        <w:tab/>
      </w:r>
      <w:r w:rsidR="00DC4574" w:rsidRPr="00DC4574">
        <w:rPr>
          <w:rFonts w:eastAsia="Times New Roman"/>
          <w:color w:val="auto"/>
          <w:lang w:val="en-US"/>
        </w:rPr>
        <w:t xml:space="preserve">: </w:t>
      </w:r>
      <w:r w:rsidR="003D3207" w:rsidRPr="00DC4574">
        <w:rPr>
          <w:rFonts w:eastAsia="Times New Roman"/>
          <w:color w:val="auto"/>
          <w:lang w:val="en-US"/>
        </w:rPr>
        <w:t>(5,5’-Ditiyo-bis (2-Nitrobenzoik Asit)</w:t>
      </w:r>
    </w:p>
    <w:p w14:paraId="4448BBB6" w14:textId="6AD39C47" w:rsidR="00B00760" w:rsidRPr="00DC4574" w:rsidRDefault="00B34B4D" w:rsidP="00890657">
      <w:pPr>
        <w:widowControl w:val="0"/>
        <w:spacing w:after="0" w:line="240" w:lineRule="auto"/>
        <w:jc w:val="both"/>
        <w:rPr>
          <w:rFonts w:eastAsia="Times New Roman"/>
          <w:color w:val="auto"/>
          <w:lang w:val="en-US"/>
        </w:rPr>
      </w:pPr>
      <w:r>
        <w:rPr>
          <w:rFonts w:eastAsia="Times New Roman"/>
          <w:color w:val="auto"/>
          <w:lang w:val="en-US"/>
        </w:rPr>
        <w:t>EC</w:t>
      </w:r>
      <w:r w:rsidR="00890657">
        <w:rPr>
          <w:rFonts w:eastAsia="Times New Roman"/>
          <w:color w:val="auto"/>
          <w:lang w:val="en-US"/>
        </w:rPr>
        <w:tab/>
      </w:r>
      <w:r w:rsidR="00890657">
        <w:rPr>
          <w:rFonts w:eastAsia="Times New Roman"/>
          <w:color w:val="auto"/>
          <w:lang w:val="en-US"/>
        </w:rPr>
        <w:tab/>
      </w:r>
      <w:r>
        <w:rPr>
          <w:rFonts w:eastAsia="Times New Roman"/>
          <w:color w:val="auto"/>
          <w:lang w:val="en-US"/>
        </w:rPr>
        <w:t>: Enzim kod numarası</w:t>
      </w:r>
    </w:p>
    <w:p w14:paraId="072F6632" w14:textId="531F3C70" w:rsidR="00B00760" w:rsidRDefault="00DC4574" w:rsidP="00890657">
      <w:pPr>
        <w:widowControl w:val="0"/>
        <w:spacing w:after="0" w:line="240" w:lineRule="auto"/>
        <w:jc w:val="both"/>
        <w:rPr>
          <w:rFonts w:eastAsia="Times New Roman"/>
          <w:color w:val="auto"/>
          <w:lang w:val="en-US"/>
        </w:rPr>
      </w:pPr>
      <w:r w:rsidRPr="00DC4574">
        <w:rPr>
          <w:rFonts w:eastAsia="Times New Roman"/>
          <w:color w:val="auto"/>
          <w:lang w:val="en-US"/>
        </w:rPr>
        <w:t>IC</w:t>
      </w:r>
      <w:r w:rsidRPr="00DC4574">
        <w:rPr>
          <w:rFonts w:eastAsia="Times New Roman"/>
          <w:color w:val="auto"/>
          <w:vertAlign w:val="subscript"/>
          <w:lang w:val="en-US"/>
        </w:rPr>
        <w:t>50</w:t>
      </w:r>
      <w:r w:rsidR="00890657">
        <w:rPr>
          <w:rFonts w:eastAsia="Times New Roman"/>
          <w:color w:val="auto"/>
          <w:vertAlign w:val="subscript"/>
          <w:lang w:val="en-US"/>
        </w:rPr>
        <w:tab/>
      </w:r>
      <w:r w:rsidR="00890657">
        <w:rPr>
          <w:rFonts w:eastAsia="Times New Roman"/>
          <w:color w:val="auto"/>
          <w:vertAlign w:val="subscript"/>
          <w:lang w:val="en-US"/>
        </w:rPr>
        <w:tab/>
      </w:r>
      <w:r w:rsidRPr="00DC4574">
        <w:rPr>
          <w:rFonts w:eastAsia="Times New Roman"/>
          <w:color w:val="auto"/>
          <w:lang w:val="en-US"/>
        </w:rPr>
        <w:t xml:space="preserve">: Enzim aktivitesini yarıya düşüren inhibitör konsantrasyonu     </w:t>
      </w:r>
    </w:p>
    <w:p w14:paraId="04047340" w14:textId="705E7D36" w:rsidR="00DC4574" w:rsidRPr="00DC4574" w:rsidRDefault="00901650" w:rsidP="00890657">
      <w:pPr>
        <w:widowControl w:val="0"/>
        <w:spacing w:after="0" w:line="240" w:lineRule="auto"/>
        <w:jc w:val="both"/>
        <w:rPr>
          <w:rFonts w:eastAsia="Times New Roman"/>
          <w:color w:val="auto"/>
          <w:lang w:val="en-US"/>
        </w:rPr>
      </w:pPr>
      <w:r>
        <w:rPr>
          <w:rFonts w:eastAsia="Times New Roman"/>
          <w:color w:val="auto"/>
          <w:lang w:val="en-US"/>
        </w:rPr>
        <w:t>GTP</w:t>
      </w:r>
      <w:r w:rsidR="00890657">
        <w:rPr>
          <w:rFonts w:eastAsia="Times New Roman"/>
          <w:color w:val="auto"/>
          <w:lang w:val="en-US"/>
        </w:rPr>
        <w:tab/>
      </w:r>
      <w:r w:rsidR="00890657">
        <w:rPr>
          <w:rFonts w:eastAsia="Times New Roman"/>
          <w:color w:val="auto"/>
          <w:lang w:val="en-US"/>
        </w:rPr>
        <w:tab/>
      </w:r>
      <w:r w:rsidR="00B00760">
        <w:rPr>
          <w:rFonts w:eastAsia="Times New Roman"/>
          <w:color w:val="auto"/>
          <w:lang w:val="en-US"/>
        </w:rPr>
        <w:t>: Guanizin trifosfat</w:t>
      </w:r>
    </w:p>
    <w:p w14:paraId="39C622F6" w14:textId="73F6695D" w:rsidR="00DC4574" w:rsidRPr="00DC4574" w:rsidRDefault="00DC4574" w:rsidP="00890657">
      <w:pPr>
        <w:widowControl w:val="0"/>
        <w:spacing w:after="0" w:line="240" w:lineRule="auto"/>
        <w:jc w:val="both"/>
        <w:rPr>
          <w:rFonts w:eastAsia="Times New Roman"/>
          <w:color w:val="auto"/>
          <w:lang w:val="en-US"/>
        </w:rPr>
      </w:pPr>
      <w:r w:rsidRPr="00DC4574">
        <w:rPr>
          <w:rFonts w:ascii="Symbol" w:eastAsia="Times New Roman" w:hAnsi="Symbol"/>
          <w:color w:val="auto"/>
          <w:lang w:val="en-US"/>
        </w:rPr>
        <w:t></w:t>
      </w:r>
      <w:r w:rsidRPr="00DC4574">
        <w:rPr>
          <w:rFonts w:eastAsia="Times New Roman"/>
          <w:color w:val="auto"/>
          <w:lang w:val="en-US"/>
        </w:rPr>
        <w:t>M</w:t>
      </w:r>
      <w:r w:rsidR="00890657">
        <w:rPr>
          <w:rFonts w:eastAsia="Times New Roman"/>
          <w:color w:val="auto"/>
          <w:lang w:val="en-US"/>
        </w:rPr>
        <w:tab/>
      </w:r>
      <w:r w:rsidR="00890657">
        <w:rPr>
          <w:rFonts w:eastAsia="Times New Roman"/>
          <w:color w:val="auto"/>
          <w:lang w:val="en-US"/>
        </w:rPr>
        <w:tab/>
      </w:r>
      <w:r w:rsidRPr="00DC4574">
        <w:rPr>
          <w:rFonts w:eastAsia="Times New Roman"/>
          <w:color w:val="auto"/>
          <w:lang w:val="en-US"/>
        </w:rPr>
        <w:t>: Mikromolar</w:t>
      </w:r>
    </w:p>
    <w:p w14:paraId="01380080" w14:textId="4F351297" w:rsidR="00DC4574" w:rsidRPr="00DC4574" w:rsidRDefault="00901650" w:rsidP="00890657">
      <w:pPr>
        <w:widowControl w:val="0"/>
        <w:spacing w:after="0" w:line="240" w:lineRule="auto"/>
        <w:jc w:val="both"/>
        <w:rPr>
          <w:rFonts w:eastAsia="Times New Roman"/>
          <w:color w:val="auto"/>
          <w:lang w:val="en-US"/>
        </w:rPr>
      </w:pPr>
      <w:r>
        <w:rPr>
          <w:rFonts w:eastAsia="Times New Roman"/>
          <w:color w:val="auto"/>
          <w:lang w:val="en-US"/>
        </w:rPr>
        <w:t>mM</w:t>
      </w:r>
      <w:r w:rsidR="00890657">
        <w:rPr>
          <w:rFonts w:eastAsia="Times New Roman"/>
          <w:color w:val="auto"/>
          <w:lang w:val="en-US"/>
        </w:rPr>
        <w:tab/>
      </w:r>
      <w:r w:rsidR="00890657">
        <w:rPr>
          <w:rFonts w:eastAsia="Times New Roman"/>
          <w:color w:val="auto"/>
          <w:lang w:val="en-US"/>
        </w:rPr>
        <w:tab/>
      </w:r>
      <w:r w:rsidR="00DC4574" w:rsidRPr="00DC4574">
        <w:rPr>
          <w:rFonts w:eastAsia="Times New Roman"/>
          <w:color w:val="auto"/>
          <w:lang w:val="en-US"/>
        </w:rPr>
        <w:t>: Milimolar</w:t>
      </w:r>
    </w:p>
    <w:p w14:paraId="5B95407B" w14:textId="77777777" w:rsidR="00E05558" w:rsidRPr="00664EDE" w:rsidRDefault="00E05558" w:rsidP="004C1747">
      <w:pPr>
        <w:rPr>
          <w:rStyle w:val="Vurgu"/>
          <w:rFonts w:eastAsia="Times New Roman"/>
          <w:i w:val="0"/>
          <w:iCs w:val="0"/>
          <w:color w:val="212529"/>
        </w:rPr>
        <w:sectPr w:rsidR="00E05558" w:rsidRPr="00664EDE" w:rsidSect="00991836">
          <w:footerReference w:type="default" r:id="rId17"/>
          <w:pgSz w:w="11906" w:h="16838" w:code="9"/>
          <w:pgMar w:top="1701" w:right="1274" w:bottom="1418" w:left="1701" w:header="709" w:footer="709" w:gutter="0"/>
          <w:pgNumType w:fmt="upperRoman" w:start="4"/>
          <w:cols w:space="708"/>
          <w:docGrid w:linePitch="360"/>
        </w:sectPr>
      </w:pPr>
    </w:p>
    <w:p w14:paraId="779D61F4" w14:textId="77777777" w:rsidR="003C0839" w:rsidRDefault="003C0839" w:rsidP="003A4634">
      <w:pPr>
        <w:pStyle w:val="balk10"/>
        <w:spacing w:before="0" w:after="0"/>
        <w:ind w:firstLine="0"/>
      </w:pPr>
      <w:bookmarkStart w:id="44" w:name="_Toc46004482"/>
      <w:bookmarkStart w:id="45" w:name="_Toc64567827"/>
    </w:p>
    <w:p w14:paraId="1B8903F0" w14:textId="35C8BA9C" w:rsidR="00E075FA" w:rsidRDefault="00466EA0" w:rsidP="003C0839">
      <w:pPr>
        <w:pStyle w:val="balk10"/>
        <w:spacing w:before="0" w:after="0" w:line="240" w:lineRule="auto"/>
      </w:pPr>
      <w:r w:rsidRPr="00664EDE">
        <w:t>1. G</w:t>
      </w:r>
      <w:bookmarkStart w:id="46" w:name="_Toc46004483"/>
      <w:bookmarkEnd w:id="44"/>
      <w:bookmarkEnd w:id="45"/>
      <w:r w:rsidR="00E075FA">
        <w:t xml:space="preserve">ENEL </w:t>
      </w:r>
      <w:r w:rsidR="00E075FA" w:rsidRPr="00183CFE">
        <w:t>BİLGİLER</w:t>
      </w:r>
    </w:p>
    <w:p w14:paraId="14352BD6" w14:textId="77777777" w:rsidR="003C0839" w:rsidRPr="00183CFE" w:rsidRDefault="003C0839" w:rsidP="003C0839">
      <w:pPr>
        <w:pStyle w:val="balk10"/>
        <w:spacing w:before="0" w:after="0" w:line="240" w:lineRule="auto"/>
      </w:pPr>
    </w:p>
    <w:p w14:paraId="354A0C87" w14:textId="77777777" w:rsidR="00183CFE" w:rsidRDefault="00183CFE" w:rsidP="003C0839">
      <w:pPr>
        <w:pStyle w:val="balk20"/>
        <w:spacing w:before="0" w:after="0" w:line="240" w:lineRule="auto"/>
      </w:pPr>
      <w:r>
        <w:t>1.1. Giriş</w:t>
      </w:r>
      <w:bookmarkStart w:id="47" w:name="_Toc64567828"/>
    </w:p>
    <w:p w14:paraId="7555E9B3" w14:textId="77777777" w:rsidR="003C0839" w:rsidRDefault="003C0839" w:rsidP="003C0839">
      <w:pPr>
        <w:pStyle w:val="balk20"/>
        <w:spacing w:before="0" w:after="0" w:line="240" w:lineRule="auto"/>
      </w:pPr>
    </w:p>
    <w:p w14:paraId="1BE21EBA" w14:textId="4CC1869C" w:rsidR="00B54481" w:rsidRDefault="00466EA0" w:rsidP="00B54481">
      <w:pPr>
        <w:pStyle w:val="Balk6"/>
        <w:spacing w:before="0" w:after="0" w:line="240" w:lineRule="auto"/>
      </w:pPr>
      <w:r w:rsidRPr="00914F07">
        <w:t>1.1.</w:t>
      </w:r>
      <w:r w:rsidR="00E075FA" w:rsidRPr="00914F07">
        <w:t>1.</w:t>
      </w:r>
      <w:r w:rsidRPr="00914F07">
        <w:t xml:space="preserve"> </w:t>
      </w:r>
      <w:bookmarkEnd w:id="46"/>
      <w:r w:rsidR="007943A0" w:rsidRPr="00914F07">
        <w:t>Enzimler</w:t>
      </w:r>
      <w:bookmarkEnd w:id="47"/>
    </w:p>
    <w:p w14:paraId="3755DBA0" w14:textId="77777777" w:rsidR="00B54481" w:rsidRPr="00B54481" w:rsidRDefault="00B54481" w:rsidP="00B54481">
      <w:pPr>
        <w:spacing w:after="0" w:line="360" w:lineRule="auto"/>
      </w:pPr>
    </w:p>
    <w:p w14:paraId="31AA33AF" w14:textId="26F8EDFB" w:rsidR="00E71C72" w:rsidRDefault="003D3207" w:rsidP="00E71C72">
      <w:pPr>
        <w:widowControl w:val="0"/>
        <w:spacing w:after="0" w:line="360" w:lineRule="auto"/>
        <w:ind w:firstLine="567"/>
        <w:jc w:val="both"/>
        <w:rPr>
          <w:rFonts w:eastAsia="Times New Roman"/>
          <w:color w:val="auto"/>
          <w:lang w:val="en-US" w:eastAsia="en-US"/>
        </w:rPr>
      </w:pPr>
      <w:r>
        <w:rPr>
          <w:rFonts w:eastAsia="Times New Roman"/>
          <w:color w:val="auto"/>
          <w:lang w:val="en-US" w:eastAsia="en-US"/>
        </w:rPr>
        <w:t>Enzimler</w:t>
      </w:r>
      <w:r w:rsidR="00292A3B">
        <w:rPr>
          <w:rFonts w:eastAsia="Times New Roman"/>
          <w:color w:val="auto"/>
          <w:lang w:val="en-US" w:eastAsia="en-US"/>
        </w:rPr>
        <w:t xml:space="preserve">, canlı organizmlarda </w:t>
      </w:r>
      <w:r w:rsidR="007943A0" w:rsidRPr="007943A0">
        <w:rPr>
          <w:rFonts w:eastAsia="Times New Roman"/>
          <w:color w:val="auto"/>
          <w:lang w:val="en-US" w:eastAsia="en-US"/>
        </w:rPr>
        <w:t>biyokimyasal reaksiyonları hızlandıran biyolojik katalizörlerdir (Robinson, 2015). İlk keşfedilen enzim, 1833 yılında Payen ve Persoz tarafından, arpadan  izole edilmiş olan nişastanın şekere dönüşümünü katalize eden amilazdır. Bu keş</w:t>
      </w:r>
      <w:r>
        <w:rPr>
          <w:rFonts w:eastAsia="Times New Roman"/>
          <w:color w:val="auto"/>
          <w:lang w:val="en-US" w:eastAsia="en-US"/>
        </w:rPr>
        <w:t xml:space="preserve">if </w:t>
      </w:r>
      <w:r w:rsidR="007943A0" w:rsidRPr="007943A0">
        <w:rPr>
          <w:rFonts w:eastAsia="Times New Roman"/>
          <w:color w:val="auto"/>
          <w:lang w:val="en-US" w:eastAsia="en-US"/>
        </w:rPr>
        <w:t>20. yüzyılın başlarında ticari ekmek yapım ve bira üretim tekniklerinin yanı sıra fermantatif enzimlerin gelişimine öncüllük etmiştir. İlk olarak Sumner 1926'da ürenin amonyak ve karbonata hidrolizini katalize eden bir enzim olan kristalize üreazı izole ederek krist</w:t>
      </w:r>
      <w:r w:rsidR="00292A3B">
        <w:rPr>
          <w:rFonts w:eastAsia="Times New Roman"/>
          <w:color w:val="auto"/>
          <w:lang w:val="en-US" w:eastAsia="en-US"/>
        </w:rPr>
        <w:t>allendirmiştir (Sumner, 1926).</w:t>
      </w:r>
      <w:bookmarkStart w:id="48" w:name="_Toc64567829"/>
    </w:p>
    <w:p w14:paraId="15B980B0" w14:textId="77777777" w:rsidR="009E3E83" w:rsidRDefault="009E3E83" w:rsidP="009E3E83">
      <w:pPr>
        <w:widowControl w:val="0"/>
        <w:spacing w:after="0" w:line="360" w:lineRule="auto"/>
        <w:ind w:firstLine="567"/>
        <w:jc w:val="both"/>
        <w:rPr>
          <w:rFonts w:eastAsia="Times New Roman"/>
          <w:color w:val="auto"/>
          <w:lang w:val="en-US" w:eastAsia="en-US"/>
        </w:rPr>
      </w:pPr>
    </w:p>
    <w:p w14:paraId="0D4C64B5" w14:textId="60A1352D" w:rsidR="00E71C72" w:rsidRDefault="007943A0" w:rsidP="00E71C72">
      <w:pPr>
        <w:pStyle w:val="Balk7"/>
        <w:spacing w:before="0" w:after="0" w:line="240" w:lineRule="auto"/>
        <w:rPr>
          <w:lang w:eastAsia="en-US"/>
        </w:rPr>
      </w:pPr>
      <w:r w:rsidRPr="00914F07">
        <w:rPr>
          <w:lang w:eastAsia="en-US"/>
        </w:rPr>
        <w:t>1.1.1.</w:t>
      </w:r>
      <w:r w:rsidR="00E075FA" w:rsidRPr="00914F07">
        <w:rPr>
          <w:lang w:eastAsia="en-US"/>
        </w:rPr>
        <w:t>1.</w:t>
      </w:r>
      <w:r w:rsidRPr="00914F07">
        <w:rPr>
          <w:lang w:eastAsia="en-US"/>
        </w:rPr>
        <w:t xml:space="preserve"> Enzimlerin Sınıflandırılması ve Mekanizması</w:t>
      </w:r>
      <w:bookmarkEnd w:id="48"/>
    </w:p>
    <w:p w14:paraId="6685D1C3" w14:textId="77777777" w:rsidR="009E3E83" w:rsidRPr="009E3E83" w:rsidRDefault="009E3E83" w:rsidP="009E3E83">
      <w:pPr>
        <w:spacing w:after="0" w:line="360" w:lineRule="auto"/>
        <w:rPr>
          <w:lang w:eastAsia="en-US"/>
        </w:rPr>
      </w:pPr>
    </w:p>
    <w:p w14:paraId="34CC0219" w14:textId="3DC9E53F" w:rsidR="007943A0" w:rsidRPr="007943A0" w:rsidRDefault="007943A0" w:rsidP="00E71C72">
      <w:pPr>
        <w:widowControl w:val="0"/>
        <w:tabs>
          <w:tab w:val="left" w:pos="426"/>
        </w:tabs>
        <w:spacing w:after="0" w:line="360" w:lineRule="auto"/>
        <w:ind w:firstLine="567"/>
        <w:jc w:val="both"/>
        <w:outlineLvl w:val="0"/>
        <w:rPr>
          <w:rFonts w:eastAsia="Calibri"/>
          <w:color w:val="auto"/>
          <w:lang w:val="en-US" w:eastAsia="en-US"/>
        </w:rPr>
      </w:pPr>
      <w:bookmarkStart w:id="49" w:name="_Toc64567830"/>
      <w:r w:rsidRPr="007943A0">
        <w:rPr>
          <w:rFonts w:eastAsia="Calibri"/>
          <w:color w:val="auto"/>
          <w:lang w:val="en-US" w:eastAsia="en-US"/>
        </w:rPr>
        <w:t>Substratlar enzimlerin etki ederek ürüne dönüştürdükleri maddelerdir. Enzimler adlandırılırken substrat adının sonuna “-az” eki getirilerek veya onları bulan kişilerin adlarıyla tanınmaktadırlar (Örneğin, üreaz, tripsin ve pepsin gibi). Bu isimler enzimlerin bilgilerini tam olarak karşılayamadığından dolayı Uluslararası Biyokimya birliği tarafından sistematik bir sınıflandırma yapılmış ve 4 rakamlı enzim kod numarası (EC) i</w:t>
      </w:r>
      <w:r w:rsidR="00CB3E92">
        <w:rPr>
          <w:rFonts w:eastAsia="Calibri"/>
          <w:color w:val="auto"/>
          <w:lang w:val="en-US" w:eastAsia="en-US"/>
        </w:rPr>
        <w:t xml:space="preserve">le adlandırılmıştır. </w:t>
      </w:r>
      <w:r w:rsidR="00D84FF3">
        <w:rPr>
          <w:rFonts w:eastAsia="Calibri"/>
          <w:color w:val="auto"/>
          <w:lang w:val="en-US" w:eastAsia="en-US"/>
        </w:rPr>
        <w:t>Enzimler 7</w:t>
      </w:r>
      <w:r w:rsidRPr="007943A0">
        <w:rPr>
          <w:rFonts w:eastAsia="Calibri"/>
          <w:color w:val="auto"/>
          <w:lang w:val="en-US" w:eastAsia="en-US"/>
        </w:rPr>
        <w:t xml:space="preserve"> ana grup altında sınıflandırılmıştır. (</w:t>
      </w:r>
      <w:r w:rsidR="00CB3E92">
        <w:rPr>
          <w:rFonts w:eastAsia="Calibri"/>
          <w:color w:val="auto"/>
          <w:lang w:val="en-US" w:eastAsia="en-US"/>
        </w:rPr>
        <w:t xml:space="preserve">Tipton ve Boyce, 2000; </w:t>
      </w:r>
      <w:r w:rsidRPr="007943A0">
        <w:rPr>
          <w:rFonts w:eastAsia="Calibri"/>
          <w:color w:val="auto"/>
          <w:lang w:val="en-US" w:eastAsia="en-US"/>
        </w:rPr>
        <w:t>Keha ve Küfrevioğlu 2012</w:t>
      </w:r>
      <w:r w:rsidR="00D84FF3">
        <w:rPr>
          <w:rFonts w:eastAsia="Calibri"/>
          <w:color w:val="auto"/>
          <w:lang w:val="en-US" w:eastAsia="en-US"/>
        </w:rPr>
        <w:t>;</w:t>
      </w:r>
      <w:r w:rsidR="00D84FF3" w:rsidRPr="00D84FF3">
        <w:rPr>
          <w:rFonts w:eastAsia="Calibri"/>
          <w:color w:val="auto"/>
          <w:lang w:val="en-US" w:eastAsia="en-US"/>
        </w:rPr>
        <w:t xml:space="preserve"> </w:t>
      </w:r>
      <w:r w:rsidR="00D84FF3">
        <w:rPr>
          <w:rFonts w:eastAsia="Calibri"/>
          <w:color w:val="auto"/>
          <w:lang w:val="en-US" w:eastAsia="en-US"/>
        </w:rPr>
        <w:t>T</w:t>
      </w:r>
      <w:r w:rsidR="00CB3E92">
        <w:rPr>
          <w:rFonts w:eastAsia="Calibri"/>
          <w:color w:val="auto"/>
          <w:lang w:val="en-US" w:eastAsia="en-US"/>
        </w:rPr>
        <w:t>ao vd., 2020</w:t>
      </w:r>
      <w:r w:rsidRPr="007943A0">
        <w:rPr>
          <w:rFonts w:eastAsia="Calibri"/>
          <w:color w:val="auto"/>
          <w:lang w:val="en-US" w:eastAsia="en-US"/>
        </w:rPr>
        <w:t>).</w:t>
      </w:r>
      <w:bookmarkEnd w:id="49"/>
      <w:r w:rsidRPr="007943A0">
        <w:rPr>
          <w:rFonts w:eastAsia="Calibri"/>
          <w:color w:val="auto"/>
          <w:lang w:val="en-US" w:eastAsia="en-US"/>
        </w:rPr>
        <w:t xml:space="preserve"> </w:t>
      </w:r>
    </w:p>
    <w:p w14:paraId="11793E3F" w14:textId="27094B3A" w:rsidR="007943A0" w:rsidRPr="007943A0" w:rsidRDefault="007943A0" w:rsidP="0030587D">
      <w:pPr>
        <w:widowControl w:val="0"/>
        <w:tabs>
          <w:tab w:val="left" w:pos="426"/>
        </w:tabs>
        <w:spacing w:after="0" w:line="360" w:lineRule="auto"/>
        <w:ind w:firstLine="567"/>
        <w:jc w:val="both"/>
        <w:outlineLvl w:val="0"/>
        <w:rPr>
          <w:rFonts w:eastAsia="Times New Roman"/>
          <w:b/>
          <w:bCs/>
          <w:color w:val="auto"/>
          <w:spacing w:val="-1"/>
          <w:lang w:val="en-US" w:eastAsia="en-US"/>
        </w:rPr>
      </w:pPr>
      <w:bookmarkStart w:id="50" w:name="_Toc64567831"/>
      <w:r w:rsidRPr="007943A0">
        <w:rPr>
          <w:rFonts w:eastAsia="Calibri"/>
          <w:color w:val="auto"/>
          <w:lang w:val="en-US" w:eastAsia="en-US"/>
        </w:rPr>
        <w:t>Bunlar;  oksidasyon tepkimelerini kolayca katalizleyen oksidoredüktazlar,  bir bileşikteki amino, karboksil yada fosfot gruplarını başka bir bileşiğe transfer eden transferazlar, ester, eter ve glikozid gibi veya C-X, P-N gibi bağlara su katılmasını katalizleyen hidrolazlar, substratlarından grup uzaklaştırıp çift bağların oluşumunu katalizleyen liyazlar , geometrik, optik veya yapısal izomerlerin birbirine dönüşümlerinde katalizleyen izomerazlar , ATP</w:t>
      </w:r>
      <w:r w:rsidR="00743317">
        <w:rPr>
          <w:rFonts w:eastAsia="Calibri"/>
          <w:color w:val="auto"/>
          <w:lang w:val="en-US" w:eastAsia="en-US"/>
        </w:rPr>
        <w:t xml:space="preserve"> (Adenozin trifosfat)</w:t>
      </w:r>
      <w:r w:rsidRPr="007943A0">
        <w:rPr>
          <w:rFonts w:eastAsia="Calibri"/>
          <w:color w:val="auto"/>
          <w:lang w:val="en-US" w:eastAsia="en-US"/>
        </w:rPr>
        <w:t xml:space="preserve"> ve GTP</w:t>
      </w:r>
      <w:r w:rsidR="00743317">
        <w:rPr>
          <w:rFonts w:eastAsia="Calibri"/>
          <w:color w:val="auto"/>
          <w:lang w:val="en-US" w:eastAsia="en-US"/>
        </w:rPr>
        <w:t xml:space="preserve"> (guanzin trifosfat)</w:t>
      </w:r>
      <w:r w:rsidRPr="007943A0">
        <w:rPr>
          <w:rFonts w:eastAsia="Calibri"/>
          <w:color w:val="auto"/>
          <w:lang w:val="en-US" w:eastAsia="en-US"/>
        </w:rPr>
        <w:t xml:space="preserve"> gibi  bileşiklerden fosfat bağı</w:t>
      </w:r>
      <w:r w:rsidR="00292A3B">
        <w:rPr>
          <w:rFonts w:eastAsia="Calibri"/>
          <w:color w:val="auto"/>
          <w:lang w:val="en-US" w:eastAsia="en-US"/>
        </w:rPr>
        <w:t>nın kopması sonucu ortaya çıkan</w:t>
      </w:r>
      <w:r w:rsidRPr="007943A0">
        <w:rPr>
          <w:rFonts w:eastAsia="Calibri"/>
          <w:color w:val="auto"/>
          <w:lang w:val="en-US" w:eastAsia="en-US"/>
        </w:rPr>
        <w:t xml:space="preserve"> yüksek enerji yardımıyla iki molekülün bağlanması reaks</w:t>
      </w:r>
      <w:r w:rsidR="00D84FF3">
        <w:rPr>
          <w:rFonts w:eastAsia="Calibri"/>
          <w:color w:val="auto"/>
          <w:lang w:val="en-US" w:eastAsia="en-US"/>
        </w:rPr>
        <w:t>iyonunu katalizleyen ligazlar ve m</w:t>
      </w:r>
      <w:r w:rsidR="00D84FF3" w:rsidRPr="00D84FF3">
        <w:rPr>
          <w:rFonts w:eastAsia="Calibri"/>
          <w:color w:val="auto"/>
          <w:lang w:val="en-US" w:eastAsia="en-US"/>
        </w:rPr>
        <w:t>oleküllerin hücresel zarlar üzerinde hareketini ve ayrılmasını sağlayan</w:t>
      </w:r>
      <w:r w:rsidR="00D84FF3">
        <w:rPr>
          <w:rFonts w:eastAsia="Calibri"/>
          <w:color w:val="auto"/>
          <w:lang w:val="en-US" w:eastAsia="en-US"/>
        </w:rPr>
        <w:t xml:space="preserve"> translokazlardır</w:t>
      </w:r>
      <w:r w:rsidRPr="007943A0">
        <w:rPr>
          <w:rFonts w:eastAsia="Calibri"/>
          <w:color w:val="auto"/>
          <w:lang w:val="en-US" w:eastAsia="en-US"/>
        </w:rPr>
        <w:t xml:space="preserve"> (McDonald ve Tipton, 2014</w:t>
      </w:r>
      <w:r w:rsidR="00D84FF3">
        <w:rPr>
          <w:rFonts w:eastAsia="Calibri"/>
          <w:color w:val="auto"/>
          <w:lang w:val="en-US" w:eastAsia="en-US"/>
        </w:rPr>
        <w:t xml:space="preserve">; </w:t>
      </w:r>
      <w:r w:rsidR="00CB3E92">
        <w:rPr>
          <w:rFonts w:eastAsia="Calibri"/>
          <w:color w:val="auto"/>
          <w:lang w:val="en-US" w:eastAsia="en-US"/>
        </w:rPr>
        <w:t>Tao vd., 2020</w:t>
      </w:r>
      <w:r w:rsidRPr="007943A0">
        <w:rPr>
          <w:rFonts w:eastAsia="Calibri"/>
          <w:color w:val="auto"/>
          <w:lang w:val="en-US" w:eastAsia="en-US"/>
        </w:rPr>
        <w:t>).</w:t>
      </w:r>
      <w:bookmarkEnd w:id="50"/>
    </w:p>
    <w:p w14:paraId="7355A899" w14:textId="038176F3" w:rsidR="007943A0" w:rsidRPr="007943A0" w:rsidRDefault="007943A0" w:rsidP="0030587D">
      <w:pPr>
        <w:widowControl w:val="0"/>
        <w:tabs>
          <w:tab w:val="left" w:pos="2685"/>
          <w:tab w:val="left" w:pos="3825"/>
          <w:tab w:val="center" w:pos="4395"/>
        </w:tabs>
        <w:spacing w:after="0" w:line="360" w:lineRule="auto"/>
        <w:ind w:firstLine="567"/>
        <w:jc w:val="both"/>
        <w:rPr>
          <w:rFonts w:eastAsia="Calibri"/>
          <w:color w:val="auto"/>
          <w:lang w:val="en-US" w:eastAsia="en-US"/>
        </w:rPr>
      </w:pPr>
      <w:r w:rsidRPr="007943A0">
        <w:rPr>
          <w:rFonts w:eastAsia="Calibri"/>
          <w:color w:val="auto"/>
          <w:lang w:val="en-US" w:eastAsia="en-US"/>
        </w:rPr>
        <w:t xml:space="preserve">Yapısal çalışmalar sayesinde araştırmacılar, enzim katalizinin, aktif bölge olarak </w:t>
      </w:r>
      <w:r w:rsidRPr="007943A0">
        <w:rPr>
          <w:rFonts w:eastAsia="Calibri"/>
          <w:color w:val="auto"/>
          <w:lang w:val="en-US" w:eastAsia="en-US"/>
        </w:rPr>
        <w:lastRenderedPageBreak/>
        <w:t>bilinen enzim yapısı içinde gömülü bir cepte gerçekleştiğini ortaya koymuştur. X-ışını kristalografisinden elde edilen deneysel kanıtlarla, bu işlemin nasıl gerçekleştiğini açıklamak için bir model önerilmiştir. Enzim ve substrat ilişkisini açıklayan en bilindik model indüklenmiş u</w:t>
      </w:r>
      <w:r w:rsidR="00D97CD6">
        <w:rPr>
          <w:rFonts w:eastAsia="Calibri"/>
          <w:color w:val="auto"/>
          <w:lang w:val="en-US" w:eastAsia="en-US"/>
        </w:rPr>
        <w:t xml:space="preserve">yum modelidir (Koshlend 1958). </w:t>
      </w:r>
      <w:r w:rsidRPr="007943A0">
        <w:rPr>
          <w:rFonts w:eastAsia="Calibri"/>
          <w:color w:val="auto"/>
          <w:lang w:val="en-US" w:eastAsia="en-US"/>
        </w:rPr>
        <w:t>Başlangıçta enzim ve substrat etkileşimi zayıf olduğundan öncelikle enzim ve substratlar aktif bölgede yapılarında büyük konformasyonel değişikliklere neden olabilecek bir kompleks oluştururlar. Böylece bağlanma güçlenmiş olur. Bağlanma olduktan sonra alternatif reaksiyon mekanizmalarıyla enzimler, reaksiyonun geçi</w:t>
      </w:r>
      <w:r w:rsidR="00CB3E92">
        <w:rPr>
          <w:rFonts w:eastAsia="Calibri"/>
          <w:color w:val="auto"/>
          <w:lang w:val="en-US" w:eastAsia="en-US"/>
        </w:rPr>
        <w:t>ş halinin serbest enerjisi düşürürler</w:t>
      </w:r>
      <w:r w:rsidRPr="007943A0">
        <w:rPr>
          <w:rFonts w:eastAsia="Calibri"/>
          <w:color w:val="auto"/>
          <w:lang w:val="en-US" w:eastAsia="en-US"/>
        </w:rPr>
        <w:t>. Bir veya daha fazla reaksiyon ara maddesi üretili</w:t>
      </w:r>
      <w:r w:rsidR="00CB3E92">
        <w:rPr>
          <w:rFonts w:eastAsia="Calibri"/>
          <w:color w:val="auto"/>
          <w:lang w:val="en-US" w:eastAsia="en-US"/>
        </w:rPr>
        <w:t>r, bu daha sonra ürüne dönüşür.</w:t>
      </w:r>
      <w:r w:rsidRPr="007943A0">
        <w:rPr>
          <w:rFonts w:eastAsia="Calibri"/>
          <w:color w:val="auto"/>
          <w:lang w:val="en-US" w:eastAsia="en-US"/>
        </w:rPr>
        <w:t xml:space="preserve"> Substrat enzime yaklaştığında, moleküler tanıma gerçekleşir ve kompleks enzim substratı aktif maddenin substratının çeşitli amino asitlerle etkileşimlerinden kaynaklanır. Karmaşık formasyonu yönlendiren iki tür etkileşim vardır: Bunlar elektronların paylaşımını içeren kovalent etkileşimler ve elektrostatik, dipol, hidrojen bağı, hidrofobik ve van der Waals kuvvetlerini içeren kovalent olmayan etkileşimlerdir. Kovalent olmayan etkileşimler ayrıca geçiş durumunu stabilize ederek ve zemin durumunu kararsızlaştırarak enzim katalizine katkıda bulunurlar. Bireysel olarak zayıf olmalarına rağmen, toplu olarak geçiş durumu oluştuğunda maksimum düzeyde güçlü bir etkileşim kurarlar (Fershett 1999 ; Silverman, 2002).  </w:t>
      </w:r>
    </w:p>
    <w:p w14:paraId="035117D5" w14:textId="77777777" w:rsidR="009E3E83" w:rsidRDefault="007943A0" w:rsidP="0030587D">
      <w:pPr>
        <w:widowControl w:val="0"/>
        <w:tabs>
          <w:tab w:val="left" w:pos="2685"/>
          <w:tab w:val="left" w:pos="3825"/>
          <w:tab w:val="center" w:pos="4395"/>
        </w:tabs>
        <w:spacing w:after="0" w:line="360" w:lineRule="auto"/>
        <w:ind w:firstLine="709"/>
        <w:jc w:val="both"/>
        <w:rPr>
          <w:rFonts w:eastAsia="Calibri"/>
          <w:color w:val="auto"/>
          <w:lang w:val="en-US" w:eastAsia="en-US"/>
        </w:rPr>
      </w:pPr>
      <w:r w:rsidRPr="007943A0">
        <w:rPr>
          <w:rFonts w:eastAsia="Calibri"/>
          <w:color w:val="auto"/>
          <w:lang w:val="en-US" w:eastAsia="en-US"/>
        </w:rPr>
        <w:t>Bir enzimin aktif bölgesi, yaklaşık on ile on iki amino asit içerir. Katalitik amino asitler olarak bilinen yaklaşık üç veya dördü, biyokimyasal reaksiyonun katalizinde doğrudan yer alır ve katalitik siteyi oluştururlar (Gutteridge ve Thornton, 2005). Rolleri mekanizmada yaptıkları spesifik kimyasal fonksiyona göre tanımlanır. Enzimlerin bir çok biyoteknolojik uygulama alanları vardır. Örneğin; tatlandırıcı ajanlar ve antibiyotiklerin modif</w:t>
      </w:r>
      <w:r w:rsidR="00F71F76">
        <w:rPr>
          <w:rFonts w:eastAsia="Calibri"/>
          <w:color w:val="auto"/>
          <w:lang w:val="en-US" w:eastAsia="en-US"/>
        </w:rPr>
        <w:t>ikasyonunda deterjan üretiminde</w:t>
      </w:r>
      <w:r w:rsidRPr="007943A0">
        <w:rPr>
          <w:rFonts w:eastAsia="Calibri"/>
          <w:color w:val="auto"/>
          <w:lang w:val="en-US" w:eastAsia="en-US"/>
        </w:rPr>
        <w:t xml:space="preserve"> ve çeşitli temizlik ürünlerinde kullanılırlar</w:t>
      </w:r>
      <w:r w:rsidR="00F71F76">
        <w:rPr>
          <w:rFonts w:eastAsia="Calibri"/>
          <w:color w:val="auto"/>
          <w:lang w:val="en-US" w:eastAsia="en-US"/>
        </w:rPr>
        <w:t>. A</w:t>
      </w:r>
      <w:r w:rsidRPr="007943A0">
        <w:rPr>
          <w:rFonts w:eastAsia="Calibri"/>
          <w:color w:val="auto"/>
          <w:lang w:val="en-US" w:eastAsia="en-US"/>
        </w:rPr>
        <w:t>yrıca adl</w:t>
      </w:r>
      <w:r w:rsidR="00F71F76">
        <w:rPr>
          <w:rFonts w:eastAsia="Calibri"/>
          <w:color w:val="auto"/>
          <w:lang w:val="en-US" w:eastAsia="en-US"/>
        </w:rPr>
        <w:t xml:space="preserve">i ve çevresel uygulamalar gibi </w:t>
      </w:r>
      <w:r w:rsidRPr="007943A0">
        <w:rPr>
          <w:rFonts w:eastAsia="Calibri"/>
          <w:color w:val="auto"/>
          <w:lang w:val="en-US" w:eastAsia="en-US"/>
        </w:rPr>
        <w:t>klini</w:t>
      </w:r>
      <w:r w:rsidR="00CB3E92">
        <w:rPr>
          <w:rFonts w:eastAsia="Calibri"/>
          <w:color w:val="auto"/>
          <w:lang w:val="en-US" w:eastAsia="en-US"/>
        </w:rPr>
        <w:t>k alanlarda kilit rol oynarlar</w:t>
      </w:r>
      <w:r w:rsidRPr="007943A0">
        <w:rPr>
          <w:rFonts w:eastAsia="Calibri"/>
          <w:color w:val="auto"/>
          <w:lang w:val="en-US" w:eastAsia="en-US"/>
        </w:rPr>
        <w:t xml:space="preserve"> (Robinson, 2015).</w:t>
      </w:r>
    </w:p>
    <w:p w14:paraId="3831F67F" w14:textId="590BE7DF" w:rsidR="007943A0" w:rsidRPr="007943A0" w:rsidRDefault="007943A0" w:rsidP="0030587D">
      <w:pPr>
        <w:widowControl w:val="0"/>
        <w:tabs>
          <w:tab w:val="left" w:pos="2685"/>
          <w:tab w:val="left" w:pos="3825"/>
          <w:tab w:val="center" w:pos="4395"/>
        </w:tabs>
        <w:spacing w:after="0" w:line="360" w:lineRule="auto"/>
        <w:ind w:firstLine="709"/>
        <w:jc w:val="both"/>
        <w:rPr>
          <w:rFonts w:eastAsia="Calibri"/>
          <w:color w:val="auto"/>
          <w:lang w:val="en-US" w:eastAsia="en-US"/>
        </w:rPr>
      </w:pPr>
      <w:r w:rsidRPr="007943A0">
        <w:rPr>
          <w:rFonts w:eastAsia="Calibri"/>
          <w:color w:val="auto"/>
          <w:lang w:val="en-US" w:eastAsia="en-US"/>
        </w:rPr>
        <w:tab/>
      </w:r>
    </w:p>
    <w:p w14:paraId="6FCA4093" w14:textId="0B6011B2" w:rsidR="007943A0" w:rsidRDefault="007943A0" w:rsidP="009E3E83">
      <w:pPr>
        <w:pStyle w:val="Balk7"/>
        <w:spacing w:before="0" w:after="0" w:line="240" w:lineRule="auto"/>
        <w:rPr>
          <w:lang w:eastAsia="en-US"/>
        </w:rPr>
      </w:pPr>
      <w:bookmarkStart w:id="51" w:name="_Toc64567832"/>
      <w:r w:rsidRPr="007943A0">
        <w:rPr>
          <w:lang w:eastAsia="en-US"/>
        </w:rPr>
        <w:t>1.1.</w:t>
      </w:r>
      <w:r w:rsidR="00E075FA">
        <w:rPr>
          <w:lang w:eastAsia="en-US"/>
        </w:rPr>
        <w:t>1.</w:t>
      </w:r>
      <w:r w:rsidRPr="007943A0">
        <w:rPr>
          <w:lang w:eastAsia="en-US"/>
        </w:rPr>
        <w:t>2. Enzim İnhibisyonu</w:t>
      </w:r>
      <w:bookmarkEnd w:id="51"/>
    </w:p>
    <w:p w14:paraId="1B6E8D75" w14:textId="77777777" w:rsidR="009E3E83" w:rsidRPr="009E3E83" w:rsidRDefault="009E3E83" w:rsidP="009E3E83">
      <w:pPr>
        <w:spacing w:after="0" w:line="360" w:lineRule="auto"/>
        <w:rPr>
          <w:lang w:eastAsia="en-US"/>
        </w:rPr>
      </w:pPr>
    </w:p>
    <w:p w14:paraId="3D1C2A75" w14:textId="286FF763" w:rsidR="007943A0" w:rsidRPr="007943A0" w:rsidRDefault="00D24521" w:rsidP="0030587D">
      <w:pPr>
        <w:widowControl w:val="0"/>
        <w:spacing w:after="0" w:line="360" w:lineRule="auto"/>
        <w:ind w:firstLine="567"/>
        <w:jc w:val="both"/>
        <w:rPr>
          <w:rFonts w:eastAsia="Calibri"/>
          <w:color w:val="auto"/>
          <w:lang w:val="en-US" w:eastAsia="en-US"/>
        </w:rPr>
      </w:pPr>
      <w:r>
        <w:rPr>
          <w:rFonts w:eastAsia="Calibri"/>
          <w:color w:val="auto"/>
          <w:lang w:val="en-US" w:eastAsia="en-US"/>
        </w:rPr>
        <w:t>Enzimlerin</w:t>
      </w:r>
      <w:r w:rsidR="007943A0" w:rsidRPr="007943A0">
        <w:rPr>
          <w:rFonts w:eastAsia="Calibri"/>
          <w:color w:val="auto"/>
          <w:lang w:val="en-US" w:eastAsia="en-US"/>
        </w:rPr>
        <w:t xml:space="preserve"> </w:t>
      </w:r>
      <w:r>
        <w:rPr>
          <w:rFonts w:eastAsia="Calibri"/>
          <w:color w:val="auto"/>
          <w:lang w:val="en-US" w:eastAsia="en-US"/>
        </w:rPr>
        <w:t xml:space="preserve">aktivitelerine etki eden bazı etken maddeler </w:t>
      </w:r>
      <w:r w:rsidR="007943A0" w:rsidRPr="007943A0">
        <w:rPr>
          <w:rFonts w:eastAsia="Calibri"/>
          <w:color w:val="auto"/>
          <w:lang w:val="en-US" w:eastAsia="en-US"/>
        </w:rPr>
        <w:t>bulunmaktadır</w:t>
      </w:r>
      <w:r>
        <w:rPr>
          <w:rFonts w:eastAsia="Calibri"/>
          <w:color w:val="auto"/>
          <w:lang w:val="en-US" w:eastAsia="en-US"/>
        </w:rPr>
        <w:t>. Enzim etkinliğini tamamen durduran veya azaltan</w:t>
      </w:r>
      <w:r w:rsidR="007943A0" w:rsidRPr="007943A0">
        <w:rPr>
          <w:rFonts w:eastAsia="Calibri"/>
          <w:color w:val="auto"/>
          <w:lang w:val="en-US" w:eastAsia="en-US"/>
        </w:rPr>
        <w:t xml:space="preserve"> etken maddelere inhibitör denilmektedir. </w:t>
      </w:r>
      <w:r>
        <w:rPr>
          <w:rFonts w:eastAsia="Calibri"/>
          <w:color w:val="auto"/>
          <w:lang w:val="en-US" w:eastAsia="en-US"/>
        </w:rPr>
        <w:t xml:space="preserve">Meydana gelen </w:t>
      </w:r>
      <w:r w:rsidR="007943A0" w:rsidRPr="007943A0">
        <w:rPr>
          <w:rFonts w:eastAsia="Calibri"/>
          <w:color w:val="auto"/>
          <w:lang w:val="en-US" w:eastAsia="en-US"/>
        </w:rPr>
        <w:t>bu olaya</w:t>
      </w:r>
      <w:r>
        <w:rPr>
          <w:rFonts w:eastAsia="Calibri"/>
          <w:color w:val="auto"/>
          <w:lang w:val="en-US" w:eastAsia="en-US"/>
        </w:rPr>
        <w:t xml:space="preserve"> ise</w:t>
      </w:r>
      <w:r w:rsidR="007943A0" w:rsidRPr="007943A0">
        <w:rPr>
          <w:rFonts w:eastAsia="Calibri"/>
          <w:color w:val="auto"/>
          <w:lang w:val="en-US" w:eastAsia="en-US"/>
        </w:rPr>
        <w:t xml:space="preserve"> inhibisyon denilmektedir. (Keha ve Küfrevioğlu, 2012).</w:t>
      </w:r>
    </w:p>
    <w:p w14:paraId="7C95A96F" w14:textId="3693CEBD" w:rsidR="007943A0" w:rsidRPr="007943A0" w:rsidRDefault="00F71F76" w:rsidP="0030587D">
      <w:pPr>
        <w:widowControl w:val="0"/>
        <w:spacing w:after="0" w:line="360" w:lineRule="auto"/>
        <w:ind w:firstLine="567"/>
        <w:jc w:val="both"/>
        <w:rPr>
          <w:rFonts w:eastAsia="Calibri"/>
          <w:color w:val="auto"/>
          <w:lang w:val="en-US" w:eastAsia="en-US"/>
        </w:rPr>
      </w:pPr>
      <w:r>
        <w:rPr>
          <w:rFonts w:eastAsia="Calibri"/>
          <w:color w:val="auto"/>
          <w:lang w:val="en-US" w:eastAsia="en-US"/>
        </w:rPr>
        <w:t>Dönüşümsüz inhibisyonlarda; e</w:t>
      </w:r>
      <w:r w:rsidR="007943A0" w:rsidRPr="007943A0">
        <w:rPr>
          <w:rFonts w:eastAsia="Calibri"/>
          <w:color w:val="auto"/>
          <w:lang w:val="en-US" w:eastAsia="en-US"/>
        </w:rPr>
        <w:t>nzimin aktif bölgesine inhibitör kovalent bağlanır ve enzim yapısını bozarak aktivitesini düşürebilir yada aktiveteyi bitirebilir.</w:t>
      </w:r>
      <w:r w:rsidR="007943A0" w:rsidRPr="007943A0">
        <w:rPr>
          <w:rFonts w:ascii="Calibri" w:eastAsia="Calibri" w:hAnsi="Calibri"/>
          <w:color w:val="auto"/>
          <w:sz w:val="22"/>
          <w:szCs w:val="22"/>
          <w:lang w:val="en-US" w:eastAsia="en-US"/>
        </w:rPr>
        <w:t xml:space="preserve"> </w:t>
      </w:r>
      <w:r w:rsidR="007943A0" w:rsidRPr="007943A0">
        <w:rPr>
          <w:rFonts w:eastAsia="Calibri"/>
          <w:color w:val="auto"/>
          <w:lang w:val="en-US" w:eastAsia="en-US"/>
        </w:rPr>
        <w:t xml:space="preserve">Toksik sinir </w:t>
      </w:r>
      <w:r w:rsidR="007943A0" w:rsidRPr="007943A0">
        <w:rPr>
          <w:rFonts w:eastAsia="Calibri"/>
          <w:color w:val="auto"/>
          <w:lang w:val="en-US" w:eastAsia="en-US"/>
        </w:rPr>
        <w:lastRenderedPageBreak/>
        <w:t>gazlarının kompleks oluşumu ile asetilkolinesteraz (AChE) enzimini inhibe etmeleri bu tip inhibisyona örnek olarak gösterilebilir.</w:t>
      </w:r>
    </w:p>
    <w:p w14:paraId="14920CD9" w14:textId="77777777" w:rsidR="007943A0" w:rsidRPr="007943A0" w:rsidRDefault="007943A0" w:rsidP="0030587D">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Dönüşümlü inhibisyonlar ; inhibitör etkenliği bakımından üç kısımda incelenir.</w:t>
      </w:r>
    </w:p>
    <w:p w14:paraId="4203AEAF" w14:textId="628D2762" w:rsidR="007943A0" w:rsidRPr="007943A0" w:rsidRDefault="00F71F76" w:rsidP="0030587D">
      <w:pPr>
        <w:widowControl w:val="0"/>
        <w:spacing w:after="0" w:line="360" w:lineRule="auto"/>
        <w:ind w:firstLine="567"/>
        <w:jc w:val="both"/>
        <w:rPr>
          <w:rFonts w:eastAsia="Calibri"/>
          <w:color w:val="auto"/>
          <w:lang w:val="en-US" w:eastAsia="en-US"/>
        </w:rPr>
      </w:pPr>
      <w:r>
        <w:rPr>
          <w:rFonts w:eastAsia="Calibri"/>
          <w:color w:val="auto"/>
          <w:lang w:val="en-US" w:eastAsia="en-US"/>
        </w:rPr>
        <w:t>Kompetitif (Yarışmalı) inhibisyon: E</w:t>
      </w:r>
      <w:r w:rsidR="007943A0" w:rsidRPr="007943A0">
        <w:rPr>
          <w:rFonts w:eastAsia="Calibri"/>
          <w:color w:val="auto"/>
          <w:lang w:val="en-US" w:eastAsia="en-US"/>
        </w:rPr>
        <w:t>nzim akt</w:t>
      </w:r>
      <w:r>
        <w:rPr>
          <w:rFonts w:eastAsia="Calibri"/>
          <w:color w:val="auto"/>
          <w:lang w:val="en-US" w:eastAsia="en-US"/>
        </w:rPr>
        <w:t>if bölgesine bağlanmak için sub</w:t>
      </w:r>
      <w:r w:rsidR="007943A0" w:rsidRPr="007943A0">
        <w:rPr>
          <w:rFonts w:eastAsia="Calibri"/>
          <w:color w:val="auto"/>
          <w:lang w:val="en-US" w:eastAsia="en-US"/>
        </w:rPr>
        <w:t>strat ile inhibitör yarışırlar. İnhibitör enzimin aktif bölgesine yerleşirse enzimin aktvitesini azalltır veya tamamiyle durdurabilirler.</w:t>
      </w:r>
    </w:p>
    <w:p w14:paraId="22513EDA" w14:textId="5853A109" w:rsidR="007943A0" w:rsidRPr="007943A0" w:rsidRDefault="00F71F76" w:rsidP="0030587D">
      <w:pPr>
        <w:widowControl w:val="0"/>
        <w:spacing w:after="0" w:line="360" w:lineRule="auto"/>
        <w:ind w:firstLine="567"/>
        <w:jc w:val="both"/>
        <w:rPr>
          <w:rFonts w:eastAsia="Calibri"/>
          <w:color w:val="auto"/>
          <w:lang w:val="en-US" w:eastAsia="en-US"/>
        </w:rPr>
      </w:pPr>
      <w:r>
        <w:rPr>
          <w:rFonts w:eastAsia="Calibri"/>
          <w:color w:val="auto"/>
          <w:lang w:val="en-US" w:eastAsia="en-US"/>
        </w:rPr>
        <w:t>Nonkompetitif (Yarışmasız) inhibisyon: İ</w:t>
      </w:r>
      <w:r w:rsidR="007943A0" w:rsidRPr="007943A0">
        <w:rPr>
          <w:rFonts w:eastAsia="Calibri"/>
          <w:color w:val="auto"/>
          <w:lang w:val="en-US" w:eastAsia="en-US"/>
        </w:rPr>
        <w:t>nhibitör aktif olan enzime yada enzim subustrat kompleksine bağlanır ancak aktif bölgeden uzak şekilde bağlanırlar bundan dolayı enzimin yapısı bozulabilir aktivite düşer.</w:t>
      </w:r>
      <w:r w:rsidR="007943A0" w:rsidRPr="007943A0">
        <w:rPr>
          <w:rFonts w:ascii="Calibri" w:eastAsia="Calibri" w:hAnsi="Calibri"/>
          <w:color w:val="auto"/>
          <w:sz w:val="22"/>
          <w:szCs w:val="22"/>
          <w:lang w:val="en-US" w:eastAsia="en-US"/>
        </w:rPr>
        <w:t xml:space="preserve"> </w:t>
      </w:r>
    </w:p>
    <w:p w14:paraId="21E4EB6B" w14:textId="4B9EC7F5" w:rsidR="007943A0" w:rsidRDefault="007943A0" w:rsidP="0030587D">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 xml:space="preserve"> Unkompetiti</w:t>
      </w:r>
      <w:r w:rsidR="00F71F76">
        <w:rPr>
          <w:rFonts w:eastAsia="Calibri"/>
          <w:color w:val="auto"/>
          <w:lang w:val="en-US" w:eastAsia="en-US"/>
        </w:rPr>
        <w:t>f (Yarı yarışmalı) inhibisyon: İ</w:t>
      </w:r>
      <w:r w:rsidRPr="007943A0">
        <w:rPr>
          <w:rFonts w:eastAsia="Calibri"/>
          <w:color w:val="auto"/>
          <w:lang w:val="en-US" w:eastAsia="en-US"/>
        </w:rPr>
        <w:t>nhibitör enzim aktif bölgesine değil sadece enzim substrat kompleksine ilgi duyar ve enzimin aktivitesini düşürür (Gürdol ve Ademoğlu, 2006; Telefoncu ve Kılınç 2012).</w:t>
      </w:r>
    </w:p>
    <w:p w14:paraId="5E2C8364" w14:textId="77777777" w:rsidR="009E3E83" w:rsidRPr="007943A0" w:rsidRDefault="009E3E83" w:rsidP="0030587D">
      <w:pPr>
        <w:widowControl w:val="0"/>
        <w:spacing w:after="0" w:line="360" w:lineRule="auto"/>
        <w:ind w:firstLine="567"/>
        <w:jc w:val="both"/>
        <w:rPr>
          <w:rFonts w:eastAsia="Calibri"/>
          <w:color w:val="auto"/>
          <w:lang w:val="en-US" w:eastAsia="en-US"/>
        </w:rPr>
      </w:pPr>
    </w:p>
    <w:p w14:paraId="66282084" w14:textId="412FD3BC" w:rsidR="007943A0" w:rsidRDefault="007943A0" w:rsidP="009E3E83">
      <w:pPr>
        <w:pStyle w:val="Balk6"/>
        <w:spacing w:before="0" w:after="0" w:line="240" w:lineRule="auto"/>
      </w:pPr>
      <w:bookmarkStart w:id="52" w:name="_Toc64567833"/>
      <w:r w:rsidRPr="007943A0">
        <w:rPr>
          <w:lang w:eastAsia="en-US"/>
        </w:rPr>
        <w:t>1.</w:t>
      </w:r>
      <w:r w:rsidR="00E075FA">
        <w:rPr>
          <w:lang w:eastAsia="en-US"/>
        </w:rPr>
        <w:t>1.</w:t>
      </w:r>
      <w:r w:rsidRPr="007943A0">
        <w:rPr>
          <w:lang w:eastAsia="en-US"/>
        </w:rPr>
        <w:t xml:space="preserve">2. Kolinesteraz </w:t>
      </w:r>
      <w:r w:rsidRPr="00914F07">
        <w:t>Enzimleri</w:t>
      </w:r>
      <w:bookmarkEnd w:id="52"/>
    </w:p>
    <w:p w14:paraId="6CB97A0D" w14:textId="77777777" w:rsidR="009E3E83" w:rsidRPr="009E3E83" w:rsidRDefault="009E3E83" w:rsidP="009E3E83">
      <w:pPr>
        <w:spacing w:after="0" w:line="360" w:lineRule="auto"/>
      </w:pPr>
    </w:p>
    <w:p w14:paraId="2C744E15" w14:textId="5CF54A4A" w:rsidR="007943A0" w:rsidRDefault="007943A0" w:rsidP="0030587D">
      <w:pPr>
        <w:widowControl w:val="0"/>
        <w:spacing w:after="0" w:line="360" w:lineRule="auto"/>
        <w:ind w:firstLine="567"/>
        <w:jc w:val="both"/>
        <w:rPr>
          <w:rFonts w:eastAsia="Calibri"/>
          <w:color w:val="000000"/>
          <w:lang w:eastAsia="en-US"/>
        </w:rPr>
      </w:pPr>
      <w:r w:rsidRPr="007943A0">
        <w:rPr>
          <w:rFonts w:eastAsia="Calibri"/>
          <w:color w:val="000000"/>
          <w:lang w:eastAsia="en-US"/>
        </w:rPr>
        <w:t>İnsan vücudunda kolinesterazların iki formu vardır. Bunlar asetilkolinesteraz (AChE; EC 3.1.1.7) ve bütirilkolinesterazdır (BChE; EC 3.1.1.8) (Shidore vd., 2016). Farklı kromozomlarda kodlanan bu enzimlerin aminoasit dizilimleri % 65 oranında birbirlerine benzerlik gösterse de erişkin normal bir insanın beyninde BChE’ a göre AChE, daha yaygın olarak bulunmaktadır. Beyindeki k</w:t>
      </w:r>
      <w:r w:rsidR="00D97CD6">
        <w:rPr>
          <w:rFonts w:eastAsia="Calibri"/>
          <w:color w:val="000000"/>
          <w:lang w:eastAsia="en-US"/>
        </w:rPr>
        <w:t>olinesteraz aktivitesinin % 20’</w:t>
      </w:r>
      <w:r w:rsidRPr="007943A0">
        <w:rPr>
          <w:rFonts w:eastAsia="Calibri"/>
          <w:color w:val="000000"/>
          <w:lang w:eastAsia="en-US"/>
        </w:rPr>
        <w:t>sinden BChE’ nin geriye ka</w:t>
      </w:r>
      <w:r w:rsidR="00F71F76">
        <w:rPr>
          <w:rFonts w:eastAsia="Calibri"/>
          <w:color w:val="000000"/>
          <w:lang w:eastAsia="en-US"/>
        </w:rPr>
        <w:t>lan büyük bir kısmı olan % 80’</w:t>
      </w:r>
      <w:r w:rsidRPr="007943A0">
        <w:rPr>
          <w:rFonts w:eastAsia="Calibri"/>
          <w:color w:val="000000"/>
          <w:lang w:eastAsia="en-US"/>
        </w:rPr>
        <w:t>inden ise AChE sorumlu olduğu düşünülmektedir. (Greik vd., 2001).</w:t>
      </w:r>
    </w:p>
    <w:p w14:paraId="333A043F" w14:textId="77777777" w:rsidR="009E3E83" w:rsidRPr="007943A0" w:rsidRDefault="009E3E83" w:rsidP="0030587D">
      <w:pPr>
        <w:widowControl w:val="0"/>
        <w:spacing w:after="0" w:line="360" w:lineRule="auto"/>
        <w:ind w:firstLine="567"/>
        <w:jc w:val="both"/>
        <w:rPr>
          <w:rFonts w:eastAsia="Calibri"/>
          <w:color w:val="000000"/>
          <w:lang w:eastAsia="en-US"/>
        </w:rPr>
      </w:pPr>
    </w:p>
    <w:p w14:paraId="04E44536" w14:textId="5310CD5B" w:rsidR="007943A0" w:rsidRDefault="00E075FA" w:rsidP="009E3E83">
      <w:pPr>
        <w:pStyle w:val="Balk7"/>
        <w:spacing w:before="0" w:after="0" w:line="240" w:lineRule="auto"/>
        <w:rPr>
          <w:rFonts w:eastAsia="Calibri"/>
          <w:lang w:eastAsia="en-US"/>
        </w:rPr>
      </w:pPr>
      <w:r>
        <w:rPr>
          <w:rFonts w:eastAsia="Calibri"/>
          <w:lang w:eastAsia="en-US"/>
        </w:rPr>
        <w:t>1.1.2</w:t>
      </w:r>
      <w:r w:rsidR="007943A0" w:rsidRPr="007943A0">
        <w:rPr>
          <w:rFonts w:eastAsia="Calibri"/>
          <w:lang w:eastAsia="en-US"/>
        </w:rPr>
        <w:t xml:space="preserve">.1. Asetilkolinesteraz Enzimi  </w:t>
      </w:r>
    </w:p>
    <w:p w14:paraId="53C1C23F" w14:textId="77777777" w:rsidR="009E3E83" w:rsidRPr="009E3E83" w:rsidRDefault="009E3E83" w:rsidP="009E3E83">
      <w:pPr>
        <w:spacing w:after="0" w:line="360" w:lineRule="auto"/>
        <w:rPr>
          <w:lang w:eastAsia="en-US"/>
        </w:rPr>
      </w:pPr>
    </w:p>
    <w:p w14:paraId="443FEA54" w14:textId="368F62B1" w:rsidR="007943A0" w:rsidRPr="007943A0" w:rsidRDefault="007943A0" w:rsidP="0030587D">
      <w:pPr>
        <w:widowControl w:val="0"/>
        <w:spacing w:after="0" w:line="360" w:lineRule="auto"/>
        <w:ind w:firstLine="567"/>
        <w:jc w:val="both"/>
        <w:rPr>
          <w:rFonts w:eastAsia="Calibri"/>
          <w:color w:val="000000"/>
          <w:lang w:eastAsia="en-US"/>
        </w:rPr>
      </w:pPr>
      <w:r w:rsidRPr="007943A0">
        <w:rPr>
          <w:rFonts w:eastAsia="Calibri"/>
          <w:color w:val="auto"/>
          <w:lang w:val="en-US" w:eastAsia="en-US"/>
        </w:rPr>
        <w:t>İki tip önemli kolin esterazdan AChE, ağırlıklı olarak kolin esterlerini hidrolize eden ve beyin, sinir ve kırmızı kan hücrelerinde yüksek konsantrasyonlarla karakterize edilen spesifik bir esterazdır. BChE olarak adlandırılan diğer tip</w:t>
      </w:r>
      <w:r w:rsidR="0097094E">
        <w:rPr>
          <w:rFonts w:eastAsia="Calibri"/>
          <w:color w:val="auto"/>
          <w:lang w:val="en-US" w:eastAsia="en-US"/>
        </w:rPr>
        <w:t xml:space="preserve"> ise</w:t>
      </w:r>
      <w:r w:rsidRPr="007943A0">
        <w:rPr>
          <w:rFonts w:eastAsia="Calibri"/>
          <w:color w:val="auto"/>
          <w:lang w:val="en-US" w:eastAsia="en-US"/>
        </w:rPr>
        <w:t>, diğer esterlerin yanı sıra kolin esterlerini de hidrolize eden ve kan serumu, pankreas, karaciğer ve merkezi sinir sisteminde bulunan spesifik olmayan bir kolin esterazdır ("psödo" kolin esteraz olarak da adlandırılır). Asetilkolinesterazın klasik etkisi, beynin ve otonom sinir sisteminin kolinerjik sinapslarında asetilkolinin hidrolizini katalize etmektir. Butirilkolinesteraz bu fonksiyonlardan bazılarını paylaşsa da, beyindeki rolü belirsizliğini korumaktadır (Das 2012).</w:t>
      </w:r>
    </w:p>
    <w:p w14:paraId="546CFAB0" w14:textId="4AB8D8F8" w:rsidR="00D530D0" w:rsidRDefault="007943A0" w:rsidP="00D530D0">
      <w:pPr>
        <w:autoSpaceDE w:val="0"/>
        <w:autoSpaceDN w:val="0"/>
        <w:adjustRightInd w:val="0"/>
        <w:spacing w:after="0" w:line="360" w:lineRule="auto"/>
        <w:ind w:firstLine="567"/>
        <w:jc w:val="both"/>
        <w:rPr>
          <w:rFonts w:eastAsia="Calibri"/>
          <w:color w:val="auto"/>
          <w:lang w:eastAsia="en-US"/>
        </w:rPr>
      </w:pPr>
      <w:r w:rsidRPr="007943A0">
        <w:rPr>
          <w:rFonts w:eastAsia="Calibri"/>
          <w:color w:val="auto"/>
          <w:lang w:eastAsia="en-US"/>
        </w:rPr>
        <w:lastRenderedPageBreak/>
        <w:t xml:space="preserve">Asetilkolin esteraz enzimi beyinde nörotransmisyon olayı gerçekleşirken sinapsis bölgesinde hücre bölünmelerini kontrol altına alır,  nörotranmitterleri hidroliz eder.  Asetilkolinesteraz, sinir ucu önünde biriken kimyasalları süpürerek ortamdan uzaklaştırır. Bu sayede, elektron taşıyıcıların önü devamlı olarak açılmak suretiyle sinirsel iletim kesintiye uğramadan dengeli bir şekilde gerçekleşir (Göçer </w:t>
      </w:r>
      <w:r w:rsidR="00CB3E92" w:rsidRPr="00CB3E92">
        <w:rPr>
          <w:rFonts w:eastAsia="Calibri"/>
          <w:iCs/>
          <w:color w:val="auto"/>
          <w:lang w:eastAsia="en-US"/>
        </w:rPr>
        <w:t>vd</w:t>
      </w:r>
      <w:r w:rsidRPr="00CB3E92">
        <w:rPr>
          <w:rFonts w:eastAsia="Calibri"/>
          <w:iCs/>
          <w:color w:val="auto"/>
          <w:lang w:eastAsia="en-US"/>
        </w:rPr>
        <w:t>.</w:t>
      </w:r>
      <w:r w:rsidRPr="007943A0">
        <w:rPr>
          <w:rFonts w:eastAsia="Calibri"/>
          <w:i/>
          <w:iCs/>
          <w:color w:val="auto"/>
          <w:lang w:eastAsia="en-US"/>
        </w:rPr>
        <w:t xml:space="preserve"> </w:t>
      </w:r>
      <w:r w:rsidRPr="007943A0">
        <w:rPr>
          <w:rFonts w:eastAsia="Calibri"/>
          <w:color w:val="auto"/>
          <w:lang w:eastAsia="en-US"/>
        </w:rPr>
        <w:t xml:space="preserve">2013; Akıncıoğlu </w:t>
      </w:r>
      <w:r w:rsidR="00CB3E92" w:rsidRPr="00CB3E92">
        <w:rPr>
          <w:rFonts w:eastAsia="Calibri"/>
          <w:iCs/>
          <w:color w:val="auto"/>
          <w:lang w:eastAsia="en-US"/>
        </w:rPr>
        <w:t>vd.</w:t>
      </w:r>
      <w:r w:rsidRPr="00CB3E92">
        <w:rPr>
          <w:rFonts w:eastAsia="Calibri"/>
          <w:iCs/>
          <w:color w:val="auto"/>
          <w:lang w:eastAsia="en-US"/>
        </w:rPr>
        <w:t xml:space="preserve"> </w:t>
      </w:r>
      <w:r w:rsidR="008C080B">
        <w:rPr>
          <w:rFonts w:eastAsia="Calibri"/>
          <w:color w:val="auto"/>
          <w:lang w:eastAsia="en-US"/>
        </w:rPr>
        <w:t>2014).</w:t>
      </w:r>
    </w:p>
    <w:p w14:paraId="3068763D" w14:textId="77777777" w:rsidR="00D530D0" w:rsidRDefault="00D530D0" w:rsidP="00D530D0">
      <w:pPr>
        <w:autoSpaceDE w:val="0"/>
        <w:autoSpaceDN w:val="0"/>
        <w:adjustRightInd w:val="0"/>
        <w:spacing w:after="0" w:line="240" w:lineRule="auto"/>
        <w:ind w:firstLine="567"/>
        <w:jc w:val="both"/>
        <w:rPr>
          <w:rFonts w:eastAsia="Calibri"/>
          <w:color w:val="auto"/>
          <w:lang w:eastAsia="en-US"/>
        </w:rPr>
      </w:pPr>
    </w:p>
    <w:p w14:paraId="17A0AAF2" w14:textId="16A8ACB3" w:rsidR="007943A0" w:rsidRPr="007943A0" w:rsidRDefault="007943A0" w:rsidP="00841F16">
      <w:pPr>
        <w:autoSpaceDE w:val="0"/>
        <w:autoSpaceDN w:val="0"/>
        <w:adjustRightInd w:val="0"/>
        <w:spacing w:after="0" w:line="360" w:lineRule="auto"/>
        <w:ind w:firstLine="567"/>
        <w:jc w:val="center"/>
        <w:rPr>
          <w:rFonts w:eastAsia="Calibri"/>
          <w:color w:val="auto"/>
          <w:lang w:eastAsia="en-US"/>
        </w:rPr>
      </w:pPr>
      <w:r w:rsidRPr="007943A0">
        <w:rPr>
          <w:rFonts w:eastAsia="Calibri"/>
          <w:noProof/>
          <w:color w:val="auto"/>
        </w:rPr>
        <w:drawing>
          <wp:inline distT="0" distB="0" distL="0" distR="0" wp14:anchorId="3764B23C" wp14:editId="70920FF1">
            <wp:extent cx="3467865" cy="515718"/>
            <wp:effectExtent l="0" t="0" r="0"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77847" cy="517202"/>
                    </a:xfrm>
                    <a:prstGeom prst="rect">
                      <a:avLst/>
                    </a:prstGeom>
                    <a:noFill/>
                    <a:ln>
                      <a:noFill/>
                    </a:ln>
                  </pic:spPr>
                </pic:pic>
              </a:graphicData>
            </a:graphic>
          </wp:inline>
        </w:drawing>
      </w:r>
    </w:p>
    <w:p w14:paraId="09CACE99" w14:textId="77DE6C27" w:rsidR="007943A0" w:rsidRDefault="007943A0" w:rsidP="00113F90">
      <w:pPr>
        <w:autoSpaceDE w:val="0"/>
        <w:autoSpaceDN w:val="0"/>
        <w:adjustRightInd w:val="0"/>
        <w:spacing w:after="0" w:line="240" w:lineRule="auto"/>
        <w:ind w:firstLine="709"/>
        <w:jc w:val="both"/>
        <w:rPr>
          <w:rFonts w:eastAsia="Calibri"/>
          <w:color w:val="auto"/>
          <w:lang w:eastAsia="en-US"/>
        </w:rPr>
      </w:pPr>
      <w:r w:rsidRPr="007943A0">
        <w:rPr>
          <w:rFonts w:eastAsia="Calibri"/>
          <w:color w:val="auto"/>
          <w:lang w:eastAsia="en-US"/>
        </w:rPr>
        <w:t xml:space="preserve">                 </w:t>
      </w:r>
      <w:r w:rsidR="003636EC">
        <w:rPr>
          <w:rFonts w:eastAsia="Calibri"/>
          <w:color w:val="auto"/>
          <w:lang w:eastAsia="en-US"/>
        </w:rPr>
        <w:t xml:space="preserve">         </w:t>
      </w:r>
      <w:r w:rsidRPr="007943A0">
        <w:rPr>
          <w:rFonts w:eastAsia="Calibri"/>
          <w:color w:val="auto"/>
          <w:lang w:eastAsia="en-US"/>
        </w:rPr>
        <w:t xml:space="preserve">Asetilkolin   </w:t>
      </w:r>
      <w:r w:rsidR="003636EC">
        <w:rPr>
          <w:rFonts w:eastAsia="Calibri"/>
          <w:color w:val="auto"/>
          <w:lang w:eastAsia="en-US"/>
        </w:rPr>
        <w:t xml:space="preserve">                       </w:t>
      </w:r>
      <w:r w:rsidRPr="007943A0">
        <w:rPr>
          <w:rFonts w:eastAsia="Calibri"/>
          <w:color w:val="auto"/>
          <w:lang w:eastAsia="en-US"/>
        </w:rPr>
        <w:t xml:space="preserve">Asetil </w:t>
      </w:r>
      <w:r w:rsidR="003636EC">
        <w:rPr>
          <w:rFonts w:eastAsia="Calibri"/>
          <w:color w:val="auto"/>
          <w:lang w:eastAsia="en-US"/>
        </w:rPr>
        <w:t xml:space="preserve">                  </w:t>
      </w:r>
      <w:r w:rsidRPr="007943A0">
        <w:rPr>
          <w:rFonts w:eastAsia="Calibri"/>
          <w:color w:val="auto"/>
          <w:lang w:eastAsia="en-US"/>
        </w:rPr>
        <w:t>Kolin</w:t>
      </w:r>
    </w:p>
    <w:p w14:paraId="27F9A95A" w14:textId="77777777" w:rsidR="007F69F9" w:rsidRPr="007943A0" w:rsidRDefault="007F69F9" w:rsidP="00113F90">
      <w:pPr>
        <w:autoSpaceDE w:val="0"/>
        <w:autoSpaceDN w:val="0"/>
        <w:adjustRightInd w:val="0"/>
        <w:spacing w:after="0" w:line="240" w:lineRule="auto"/>
        <w:ind w:firstLine="709"/>
        <w:jc w:val="both"/>
        <w:rPr>
          <w:rFonts w:eastAsia="Calibri"/>
          <w:color w:val="auto"/>
          <w:lang w:eastAsia="en-US"/>
        </w:rPr>
      </w:pPr>
    </w:p>
    <w:p w14:paraId="7AE4EAE1" w14:textId="32FD0C3F" w:rsidR="00841F16" w:rsidRDefault="007943A0" w:rsidP="00D530D0">
      <w:pPr>
        <w:autoSpaceDE w:val="0"/>
        <w:autoSpaceDN w:val="0"/>
        <w:adjustRightInd w:val="0"/>
        <w:spacing w:after="0" w:line="240" w:lineRule="auto"/>
        <w:ind w:firstLine="709"/>
        <w:jc w:val="center"/>
        <w:rPr>
          <w:rFonts w:eastAsia="Calibri"/>
          <w:color w:val="auto"/>
          <w:lang w:eastAsia="en-US"/>
        </w:rPr>
      </w:pPr>
      <w:r w:rsidRPr="007943A0">
        <w:rPr>
          <w:rFonts w:eastAsia="Calibri"/>
          <w:color w:val="auto"/>
          <w:lang w:eastAsia="en-US"/>
        </w:rPr>
        <w:t>Şekil 1.1. Asetilkolinesterazın hidroliz reaksiyonu</w:t>
      </w:r>
    </w:p>
    <w:p w14:paraId="30CB9066" w14:textId="77777777" w:rsidR="00D530D0" w:rsidRDefault="00D530D0" w:rsidP="00D530D0">
      <w:pPr>
        <w:autoSpaceDE w:val="0"/>
        <w:autoSpaceDN w:val="0"/>
        <w:adjustRightInd w:val="0"/>
        <w:spacing w:after="0" w:line="240" w:lineRule="auto"/>
        <w:ind w:firstLine="709"/>
        <w:jc w:val="center"/>
        <w:rPr>
          <w:rFonts w:eastAsia="Calibri"/>
          <w:color w:val="auto"/>
          <w:lang w:eastAsia="en-US"/>
        </w:rPr>
      </w:pPr>
    </w:p>
    <w:p w14:paraId="0C6F65C9" w14:textId="77777777" w:rsidR="00D530D0" w:rsidRPr="007943A0" w:rsidRDefault="00D530D0" w:rsidP="00D530D0">
      <w:pPr>
        <w:autoSpaceDE w:val="0"/>
        <w:autoSpaceDN w:val="0"/>
        <w:adjustRightInd w:val="0"/>
        <w:spacing w:after="0" w:line="240" w:lineRule="auto"/>
        <w:ind w:firstLine="709"/>
        <w:jc w:val="center"/>
        <w:rPr>
          <w:rFonts w:eastAsia="Calibri"/>
          <w:color w:val="auto"/>
          <w:lang w:eastAsia="en-US"/>
        </w:rPr>
      </w:pPr>
    </w:p>
    <w:p w14:paraId="5E51FF72" w14:textId="77777777" w:rsidR="007943A0" w:rsidRPr="007943A0" w:rsidRDefault="007943A0" w:rsidP="0030587D">
      <w:pPr>
        <w:autoSpaceDE w:val="0"/>
        <w:autoSpaceDN w:val="0"/>
        <w:adjustRightInd w:val="0"/>
        <w:spacing w:after="0" w:line="360" w:lineRule="auto"/>
        <w:ind w:firstLine="567"/>
        <w:jc w:val="both"/>
        <w:rPr>
          <w:rFonts w:eastAsia="Calibri"/>
          <w:color w:val="000000"/>
          <w:lang w:eastAsia="en-US"/>
        </w:rPr>
      </w:pPr>
      <w:r w:rsidRPr="007943A0">
        <w:rPr>
          <w:rFonts w:eastAsia="Calibri"/>
          <w:color w:val="000000"/>
          <w:lang w:eastAsia="en-US"/>
        </w:rPr>
        <w:t>AChE, bir saniyede 250.000 asetilkolin molekülünü hidrolize edebilen, 537 amino asit uzunluğunda bir peptid monomerdir. AChE’nin moleküler yapısı 14 alfa sarmal ile çevrili 12 beta levhadan oluşmaktadır. Asetilkolin esteraz enzimi üç bölgeden oluşmaktadır bu bölgeler anyonik bölge katyonik bölge ve aktif bölgedir. Amin grubu bulunan katyonik bölgede Ser200, His440 ve Glu327 amino asitlerin aktifliği mecvuttur. Anyonik bölgede ise temel olarak Trp84 amino asidi bulunmakta aktif bölge ise hidrolizin gerçekleştiği bölge olarak tanımlanmakta olup asetilkolin bağlanmasını gerçekleştirmektedir (Tripathi, 2008).</w:t>
      </w:r>
    </w:p>
    <w:p w14:paraId="0AC1A3F1" w14:textId="77777777" w:rsidR="007943A0" w:rsidRDefault="007943A0" w:rsidP="0030587D">
      <w:pPr>
        <w:autoSpaceDE w:val="0"/>
        <w:autoSpaceDN w:val="0"/>
        <w:adjustRightInd w:val="0"/>
        <w:spacing w:after="0" w:line="360" w:lineRule="auto"/>
        <w:ind w:firstLine="567"/>
        <w:jc w:val="both"/>
        <w:rPr>
          <w:rFonts w:eastAsia="Calibri"/>
          <w:color w:val="000000"/>
          <w:lang w:eastAsia="en-US"/>
        </w:rPr>
      </w:pPr>
      <w:r w:rsidRPr="007943A0">
        <w:rPr>
          <w:rFonts w:eastAsia="Calibri"/>
          <w:color w:val="000000"/>
          <w:lang w:eastAsia="en-US"/>
        </w:rPr>
        <w:t>Asetilkolinesteraz enziminin aktive inhibitörleri, Ellman ve arkadaşları tarafından spektrofotometrik yöntem ile modifiye edilmiştir. Asetilkolin estreaz enzim inhibtörleri genellikle, silah sanayisinde (sinir gazı), pestisistlerde, tıbbi tedavi amaçlı olarak kullanılırlar (Colovic vd., 2013).</w:t>
      </w:r>
    </w:p>
    <w:p w14:paraId="333F2181" w14:textId="77777777" w:rsidR="009E3E83" w:rsidRPr="007943A0" w:rsidRDefault="009E3E83" w:rsidP="0030587D">
      <w:pPr>
        <w:autoSpaceDE w:val="0"/>
        <w:autoSpaceDN w:val="0"/>
        <w:adjustRightInd w:val="0"/>
        <w:spacing w:after="0" w:line="360" w:lineRule="auto"/>
        <w:ind w:firstLine="567"/>
        <w:jc w:val="both"/>
        <w:rPr>
          <w:rFonts w:eastAsia="Calibri"/>
          <w:color w:val="000000"/>
          <w:lang w:eastAsia="en-US"/>
        </w:rPr>
      </w:pPr>
    </w:p>
    <w:p w14:paraId="41BAFAC4" w14:textId="613E7A68" w:rsidR="007943A0" w:rsidRDefault="007943A0" w:rsidP="009E3E83">
      <w:pPr>
        <w:pStyle w:val="Balk7"/>
        <w:spacing w:before="0" w:after="0" w:line="240" w:lineRule="auto"/>
        <w:rPr>
          <w:rFonts w:eastAsia="Calibri"/>
          <w:lang w:eastAsia="en-US"/>
        </w:rPr>
      </w:pPr>
      <w:r w:rsidRPr="007943A0">
        <w:rPr>
          <w:rFonts w:eastAsia="Calibri"/>
          <w:lang w:eastAsia="en-US"/>
        </w:rPr>
        <w:t>1.</w:t>
      </w:r>
      <w:r w:rsidR="00E075FA">
        <w:rPr>
          <w:rFonts w:eastAsia="Calibri"/>
          <w:lang w:eastAsia="en-US"/>
        </w:rPr>
        <w:t>1.2.2. Bütirilkolin</w:t>
      </w:r>
      <w:r w:rsidRPr="007943A0">
        <w:rPr>
          <w:rFonts w:eastAsia="Calibri"/>
          <w:lang w:eastAsia="en-US"/>
        </w:rPr>
        <w:t>esteraz</w:t>
      </w:r>
      <w:r w:rsidR="00E075FA">
        <w:rPr>
          <w:rFonts w:eastAsia="Calibri"/>
          <w:lang w:eastAsia="en-US"/>
        </w:rPr>
        <w:t xml:space="preserve"> Enzimi</w:t>
      </w:r>
    </w:p>
    <w:p w14:paraId="17F52D81" w14:textId="77777777" w:rsidR="009E3E83" w:rsidRPr="009E3E83" w:rsidRDefault="009E3E83" w:rsidP="009E3E83">
      <w:pPr>
        <w:spacing w:after="0" w:line="360" w:lineRule="auto"/>
        <w:rPr>
          <w:lang w:eastAsia="en-US"/>
        </w:rPr>
      </w:pPr>
    </w:p>
    <w:p w14:paraId="3D32FD1B" w14:textId="77777777"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Courier New" w:eastAsia="Times New Roman" w:hAnsi="Courier New" w:cs="Courier New"/>
          <w:color w:val="auto"/>
        </w:rPr>
      </w:pPr>
      <w:r w:rsidRPr="007943A0">
        <w:rPr>
          <w:rFonts w:eastAsia="Times New Roman"/>
          <w:color w:val="auto"/>
        </w:rPr>
        <w:t>Bütirilkolinesteraz (BChE) ise yaklaşık olarak 342 000 Da ağırlığında tetramerik bir glikoproteindir (Barta vd. 2001). BChE çoğunlukla karaciğer, plazma ve kas dokularında mevcut olan bir enzimdir.</w:t>
      </w:r>
      <w:r w:rsidRPr="007943A0">
        <w:rPr>
          <w:rFonts w:ascii="Courier New" w:eastAsia="Times New Roman" w:hAnsi="Courier New" w:cs="Courier New"/>
          <w:color w:val="auto"/>
        </w:rPr>
        <w:t xml:space="preserve"> </w:t>
      </w:r>
      <w:r w:rsidRPr="007943A0">
        <w:rPr>
          <w:rFonts w:eastAsia="Times New Roman"/>
          <w:color w:val="auto"/>
        </w:rPr>
        <w:t xml:space="preserve">AChE'ın bilinen klasik rolü kolinerjik sinapslardaki asetilkolini hidrolize etmektir. BChE ise, sinaptik aralıkta bulunmaz. Bilimsel araştırmalar henüz bu enzimin farmakolojik rolünü kesin olarak ortaya koyamasalar da, BChE’ın dejeneratif değişiklikler ile beyindeki asetilkolin hidrolizi sırasında dengeleyici bir role sahip </w:t>
      </w:r>
      <w:r w:rsidRPr="007943A0">
        <w:rPr>
          <w:rFonts w:eastAsia="Times New Roman"/>
          <w:color w:val="auto"/>
        </w:rPr>
        <w:lastRenderedPageBreak/>
        <w:t>olabileceği bildirilmiştir.  BChE; AChE eksikliğinde ve yokluğunda kolinerjik iletimde koregülatör olarak görev yapmaktadır. (Guillou, 2000; Mack ve Robitzki, 2000; Suarez vd., 2006; Chitransi vd., 2013).</w:t>
      </w:r>
      <w:r w:rsidRPr="007943A0">
        <w:rPr>
          <w:rFonts w:ascii="Courier New" w:eastAsia="Times New Roman" w:hAnsi="Courier New" w:cs="Courier New"/>
          <w:color w:val="auto"/>
        </w:rPr>
        <w:t xml:space="preserve"> </w:t>
      </w:r>
    </w:p>
    <w:p w14:paraId="6824CEB8" w14:textId="3655C30C"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BChE esas olarak glial hücreleri ile ilişkilidir ve sağlıklı beyin hücrelerinde çok daha düşük konsantrasyonlarda bulunurlar. Ancak, Alzheimer hastalığı süresince, AChE aktivitesi giderek azalırken BChE aktivitesi artar ve BChE daha sonra</w:t>
      </w:r>
      <w:r w:rsidR="00433DFD">
        <w:rPr>
          <w:rFonts w:eastAsia="Times New Roman"/>
          <w:color w:val="auto"/>
        </w:rPr>
        <w:t xml:space="preserve"> asetilkolin</w:t>
      </w:r>
      <w:r w:rsidRPr="007943A0">
        <w:rPr>
          <w:rFonts w:eastAsia="Times New Roman"/>
          <w:color w:val="auto"/>
        </w:rPr>
        <w:t xml:space="preserve"> </w:t>
      </w:r>
      <w:r w:rsidR="00433DFD">
        <w:rPr>
          <w:rFonts w:eastAsia="Times New Roman"/>
          <w:color w:val="auto"/>
        </w:rPr>
        <w:t>(</w:t>
      </w:r>
      <w:r w:rsidRPr="007943A0">
        <w:rPr>
          <w:rFonts w:eastAsia="Times New Roman"/>
          <w:color w:val="auto"/>
        </w:rPr>
        <w:t>ACh</w:t>
      </w:r>
      <w:r w:rsidR="00433DFD">
        <w:rPr>
          <w:rFonts w:eastAsia="Times New Roman"/>
          <w:color w:val="auto"/>
        </w:rPr>
        <w:t>)</w:t>
      </w:r>
      <w:r w:rsidRPr="007943A0">
        <w:rPr>
          <w:rFonts w:eastAsia="Times New Roman"/>
          <w:color w:val="auto"/>
        </w:rPr>
        <w:t xml:space="preserve"> metabolizması için telafi edici bir mekanizma oluşturur. Sonuç olarak, ACh düzenlemesi giderek BChE'ye bağımlı hale gelebilir. Böylece ikili inhibitörler, AChE seçici ajanlardan daha uzun süreli etkinlik sağlayabilir (Rodrıguez-Franco vd., 2005)</w:t>
      </w:r>
    </w:p>
    <w:p w14:paraId="5712B2AA" w14:textId="1864D617" w:rsidR="00D530D0" w:rsidRDefault="007943A0" w:rsidP="00D530D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BChE; serum, kalp, pankreas, karaciğer ve beyinde expresse olmuştur. Boşluğun tabanında bulunan aktif bölgede, katalitik etkinlik için subsratların karbonil gruplarına veya psödosubsrat inhibitörlerine nükleofil</w:t>
      </w:r>
      <w:r w:rsidR="00CB3E92">
        <w:rPr>
          <w:rFonts w:eastAsia="Times New Roman"/>
          <w:color w:val="auto"/>
        </w:rPr>
        <w:t>ik olarak saldırır ( Chiou vd</w:t>
      </w:r>
      <w:r w:rsidR="00D530D0">
        <w:rPr>
          <w:rFonts w:eastAsia="Times New Roman"/>
          <w:color w:val="auto"/>
        </w:rPr>
        <w:t>. 2009).</w:t>
      </w:r>
    </w:p>
    <w:p w14:paraId="05FEBB51" w14:textId="77777777" w:rsidR="00D530D0" w:rsidRPr="007943A0" w:rsidRDefault="00D530D0" w:rsidP="00D530D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eastAsia="Times New Roman"/>
          <w:color w:val="auto"/>
        </w:rPr>
      </w:pPr>
    </w:p>
    <w:p w14:paraId="216BC51A" w14:textId="77777777" w:rsidR="007943A0" w:rsidRPr="007943A0" w:rsidRDefault="007943A0" w:rsidP="00841F16">
      <w:pPr>
        <w:shd w:val="clear" w:color="auto" w:fill="FFFFFF"/>
        <w:tabs>
          <w:tab w:val="left" w:pos="708"/>
          <w:tab w:val="left" w:pos="1416"/>
          <w:tab w:val="left" w:pos="2124"/>
          <w:tab w:val="left" w:pos="2832"/>
          <w:tab w:val="left" w:pos="3540"/>
          <w:tab w:val="left" w:pos="4248"/>
          <w:tab w:val="left" w:pos="4956"/>
        </w:tabs>
        <w:spacing w:before="120" w:after="120" w:line="240" w:lineRule="auto"/>
        <w:ind w:firstLine="709"/>
        <w:jc w:val="center"/>
        <w:rPr>
          <w:rFonts w:eastAsia="Times New Roman"/>
          <w:color w:val="auto"/>
        </w:rPr>
      </w:pPr>
      <w:r w:rsidRPr="007943A0">
        <w:rPr>
          <w:rFonts w:eastAsia="Times New Roman"/>
          <w:noProof/>
          <w:color w:val="auto"/>
        </w:rPr>
        <w:drawing>
          <wp:inline distT="0" distB="0" distL="0" distR="0" wp14:anchorId="5397BA77" wp14:editId="207BB294">
            <wp:extent cx="3305387" cy="487680"/>
            <wp:effectExtent l="0" t="0" r="9525" b="762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15022" cy="489102"/>
                    </a:xfrm>
                    <a:prstGeom prst="rect">
                      <a:avLst/>
                    </a:prstGeom>
                    <a:noFill/>
                    <a:ln>
                      <a:noFill/>
                    </a:ln>
                  </pic:spPr>
                </pic:pic>
              </a:graphicData>
            </a:graphic>
          </wp:inline>
        </w:drawing>
      </w:r>
    </w:p>
    <w:p w14:paraId="3E75450C" w14:textId="459E4F52" w:rsidR="007943A0" w:rsidRDefault="00DE15B9" w:rsidP="00841F16">
      <w:pPr>
        <w:shd w:val="clear" w:color="auto" w:fill="FFFFFF"/>
        <w:tabs>
          <w:tab w:val="left" w:pos="708"/>
          <w:tab w:val="left" w:pos="1416"/>
          <w:tab w:val="left" w:pos="2124"/>
          <w:tab w:val="left" w:pos="2832"/>
          <w:tab w:val="left" w:pos="3540"/>
          <w:tab w:val="left" w:pos="4248"/>
          <w:tab w:val="left" w:pos="4956"/>
        </w:tabs>
        <w:spacing w:after="0" w:line="240" w:lineRule="auto"/>
        <w:ind w:firstLine="709"/>
        <w:rPr>
          <w:rFonts w:eastAsia="Times New Roman"/>
          <w:color w:val="auto"/>
        </w:rPr>
      </w:pPr>
      <w:r>
        <w:rPr>
          <w:rFonts w:eastAsia="Times New Roman"/>
          <w:color w:val="auto"/>
        </w:rPr>
        <w:t xml:space="preserve">                           </w:t>
      </w:r>
      <w:r w:rsidR="007943A0" w:rsidRPr="007943A0">
        <w:rPr>
          <w:rFonts w:eastAsia="Times New Roman"/>
          <w:color w:val="auto"/>
        </w:rPr>
        <w:t>Bütiril</w:t>
      </w:r>
      <w:r>
        <w:rPr>
          <w:rFonts w:eastAsia="Times New Roman"/>
          <w:color w:val="auto"/>
        </w:rPr>
        <w:t xml:space="preserve"> kolin                         Bütirat               </w:t>
      </w:r>
      <w:r w:rsidR="007943A0" w:rsidRPr="007943A0">
        <w:rPr>
          <w:rFonts w:eastAsia="Times New Roman"/>
          <w:color w:val="auto"/>
        </w:rPr>
        <w:t>Kolin</w:t>
      </w:r>
    </w:p>
    <w:p w14:paraId="52281D21" w14:textId="77777777" w:rsidR="007F69F9" w:rsidRPr="007943A0" w:rsidRDefault="007F69F9" w:rsidP="00841F16">
      <w:pPr>
        <w:shd w:val="clear" w:color="auto" w:fill="FFFFFF"/>
        <w:tabs>
          <w:tab w:val="left" w:pos="708"/>
          <w:tab w:val="left" w:pos="1416"/>
          <w:tab w:val="left" w:pos="2124"/>
          <w:tab w:val="left" w:pos="2832"/>
          <w:tab w:val="left" w:pos="3540"/>
          <w:tab w:val="left" w:pos="4248"/>
          <w:tab w:val="left" w:pos="4956"/>
        </w:tabs>
        <w:spacing w:after="0" w:line="240" w:lineRule="auto"/>
        <w:ind w:firstLine="709"/>
        <w:rPr>
          <w:rFonts w:eastAsia="Times New Roman"/>
          <w:color w:val="auto"/>
        </w:rPr>
      </w:pPr>
    </w:p>
    <w:p w14:paraId="4C4AA511" w14:textId="47B88B46" w:rsidR="00D530D0" w:rsidRDefault="007943A0" w:rsidP="003A4634">
      <w:pPr>
        <w:shd w:val="clear" w:color="auto" w:fill="FFFFFF"/>
        <w:tabs>
          <w:tab w:val="left" w:pos="708"/>
          <w:tab w:val="left" w:pos="1416"/>
          <w:tab w:val="left" w:pos="2124"/>
          <w:tab w:val="left" w:pos="2832"/>
          <w:tab w:val="left" w:pos="3540"/>
          <w:tab w:val="left" w:pos="4248"/>
          <w:tab w:val="left" w:pos="4956"/>
        </w:tabs>
        <w:spacing w:after="0" w:line="240" w:lineRule="auto"/>
        <w:ind w:firstLine="709"/>
        <w:jc w:val="center"/>
        <w:rPr>
          <w:rFonts w:eastAsia="Times New Roman"/>
          <w:color w:val="auto"/>
        </w:rPr>
      </w:pPr>
      <w:r w:rsidRPr="007943A0">
        <w:rPr>
          <w:rFonts w:eastAsia="Times New Roman"/>
          <w:color w:val="auto"/>
        </w:rPr>
        <w:t>Şekil 1.2. Bütirilkoliesterazın hidroliz reaksiyonu</w:t>
      </w:r>
    </w:p>
    <w:p w14:paraId="0DC3D6A6" w14:textId="77777777" w:rsidR="003A4634" w:rsidRDefault="003A4634" w:rsidP="003A4634">
      <w:pPr>
        <w:shd w:val="clear" w:color="auto" w:fill="FFFFFF"/>
        <w:tabs>
          <w:tab w:val="left" w:pos="708"/>
          <w:tab w:val="left" w:pos="1416"/>
          <w:tab w:val="left" w:pos="2124"/>
          <w:tab w:val="left" w:pos="2832"/>
          <w:tab w:val="left" w:pos="3540"/>
          <w:tab w:val="left" w:pos="4248"/>
          <w:tab w:val="left" w:pos="4956"/>
        </w:tabs>
        <w:spacing w:after="0" w:line="240" w:lineRule="auto"/>
        <w:ind w:firstLine="709"/>
        <w:jc w:val="center"/>
        <w:rPr>
          <w:rFonts w:eastAsia="Times New Roman"/>
          <w:color w:val="auto"/>
        </w:rPr>
      </w:pPr>
    </w:p>
    <w:p w14:paraId="2D0E4618" w14:textId="77777777" w:rsidR="003A4634" w:rsidRPr="007943A0" w:rsidRDefault="003A4634" w:rsidP="003A4634">
      <w:pPr>
        <w:shd w:val="clear" w:color="auto" w:fill="FFFFFF"/>
        <w:tabs>
          <w:tab w:val="left" w:pos="708"/>
          <w:tab w:val="left" w:pos="1416"/>
          <w:tab w:val="left" w:pos="2124"/>
          <w:tab w:val="left" w:pos="2832"/>
          <w:tab w:val="left" w:pos="3540"/>
          <w:tab w:val="left" w:pos="4248"/>
          <w:tab w:val="left" w:pos="4956"/>
        </w:tabs>
        <w:spacing w:after="0" w:line="240" w:lineRule="auto"/>
        <w:ind w:firstLine="709"/>
        <w:jc w:val="center"/>
        <w:rPr>
          <w:rFonts w:eastAsia="Times New Roman"/>
          <w:color w:val="auto"/>
        </w:rPr>
      </w:pPr>
    </w:p>
    <w:p w14:paraId="326B6F98" w14:textId="77777777" w:rsidR="007943A0" w:rsidRPr="007943A0" w:rsidRDefault="007943A0" w:rsidP="0030587D">
      <w:pPr>
        <w:shd w:val="clear" w:color="auto" w:fill="FFFFFF"/>
        <w:tabs>
          <w:tab w:val="left" w:pos="708"/>
          <w:tab w:val="left" w:pos="1416"/>
          <w:tab w:val="left" w:pos="2124"/>
          <w:tab w:val="left" w:pos="2832"/>
          <w:tab w:val="left" w:pos="3540"/>
          <w:tab w:val="left" w:pos="4248"/>
          <w:tab w:val="left" w:pos="4956"/>
        </w:tabs>
        <w:spacing w:after="0" w:line="360" w:lineRule="auto"/>
        <w:ind w:firstLine="567"/>
        <w:jc w:val="both"/>
        <w:rPr>
          <w:rFonts w:ascii="Courier New" w:eastAsia="Times New Roman" w:hAnsi="Courier New" w:cs="Courier New"/>
          <w:color w:val="auto"/>
          <w:sz w:val="20"/>
          <w:szCs w:val="20"/>
        </w:rPr>
      </w:pPr>
      <w:r w:rsidRPr="007943A0">
        <w:rPr>
          <w:rFonts w:eastAsia="Calibri"/>
          <w:color w:val="auto"/>
        </w:rPr>
        <w:t>Bütirilkolinesteraz, asetilkolinesteraza benzer şekilde yapısında esteraz, aril açilamidaz ve peptidaz (proteaz) enzimatik aktiviteleri barındırırmaktadır.</w:t>
      </w:r>
      <w:r w:rsidRPr="007943A0">
        <w:rPr>
          <w:rFonts w:ascii="Courier New" w:eastAsia="Times New Roman" w:hAnsi="Courier New" w:cs="Courier New"/>
          <w:color w:val="auto"/>
          <w:sz w:val="20"/>
          <w:szCs w:val="20"/>
        </w:rPr>
        <w:t xml:space="preserve"> </w:t>
      </w:r>
      <w:r w:rsidRPr="007943A0">
        <w:rPr>
          <w:rFonts w:eastAsia="Calibri"/>
          <w:color w:val="auto"/>
        </w:rPr>
        <w:t>Organofosfat ve karbamat yapılı inhibitor bileşiklerinin asetilkolinesteraza ulaşamadan dolaşımdan temizlenmesinde, asetilkolinesteraz yokluğunda kolinerjik sinir iletiminin kontrolünde kokain, aspirin, amitriplin gibi bazı ilaçların inaktivasyonu ve bambuterol, heroin gibi bazı ilaçların aktivasyonunda butirilkolinesterazın esteraz aktivitesi önem kazanmaktadır. Seratonerjik ve kolinerjik sinir iletim sistemleri arasında iletişim sağlama işlevinde ise enzimin aril açilamidaz aktivitesinin, ayrıca Alzheimer hastalığının gelişmesi ve ilerlemesindede enzimin peptidaz ve proteaz aktivitesinin önemi bulunmaktadır.</w:t>
      </w:r>
      <w:r w:rsidRPr="007943A0">
        <w:rPr>
          <w:rFonts w:ascii="Courier New" w:eastAsia="Times New Roman" w:hAnsi="Courier New" w:cs="Courier New"/>
          <w:color w:val="auto"/>
          <w:sz w:val="20"/>
          <w:szCs w:val="20"/>
        </w:rPr>
        <w:t xml:space="preserve"> </w:t>
      </w:r>
      <w:r w:rsidRPr="007943A0">
        <w:rPr>
          <w:rFonts w:eastAsia="Calibri"/>
          <w:color w:val="auto"/>
        </w:rPr>
        <w:t>Asetilkolinesteraz ve bütirilkolinesteraz enzimleri insan kromozomlarının farklı genlerinin ürünü olmalarına rağmen moleküler formları ve aktif merkez yapıları benzer iki enzimdir ve bazı homologları %65 aynı aminoasit dizisine sahiptir</w:t>
      </w:r>
      <w:r w:rsidRPr="007943A0">
        <w:rPr>
          <w:rFonts w:ascii="Courier New" w:eastAsia="Times New Roman" w:hAnsi="Courier New" w:cs="Courier New"/>
          <w:color w:val="auto"/>
          <w:sz w:val="20"/>
          <w:szCs w:val="20"/>
        </w:rPr>
        <w:t xml:space="preserve"> (</w:t>
      </w:r>
      <w:r w:rsidRPr="007943A0">
        <w:rPr>
          <w:rFonts w:eastAsia="Calibri"/>
          <w:color w:val="auto"/>
        </w:rPr>
        <w:t>Greig vd., 2001; Silman ve Sussman, 2005;</w:t>
      </w:r>
      <w:r w:rsidRPr="007943A0">
        <w:rPr>
          <w:rFonts w:eastAsia="Times New Roman"/>
          <w:color w:val="auto"/>
        </w:rPr>
        <w:t xml:space="preserve"> Özcan, 2014</w:t>
      </w:r>
      <w:r w:rsidRPr="007943A0">
        <w:rPr>
          <w:rFonts w:eastAsia="Calibri"/>
          <w:color w:val="auto"/>
        </w:rPr>
        <w:t>).</w:t>
      </w:r>
      <w:r w:rsidRPr="007943A0">
        <w:rPr>
          <w:rFonts w:ascii="Courier New" w:eastAsia="Times New Roman" w:hAnsi="Courier New" w:cs="Courier New"/>
          <w:color w:val="auto"/>
          <w:sz w:val="20"/>
          <w:szCs w:val="20"/>
        </w:rPr>
        <w:t xml:space="preserve"> </w:t>
      </w:r>
    </w:p>
    <w:p w14:paraId="5EA4D69C" w14:textId="77777777" w:rsidR="007943A0" w:rsidRPr="007943A0" w:rsidRDefault="007943A0" w:rsidP="0030587D">
      <w:pPr>
        <w:shd w:val="clear" w:color="auto" w:fill="FFFFFF"/>
        <w:tabs>
          <w:tab w:val="left" w:pos="708"/>
          <w:tab w:val="left" w:pos="1416"/>
          <w:tab w:val="left" w:pos="2124"/>
          <w:tab w:val="left" w:pos="2832"/>
          <w:tab w:val="left" w:pos="3540"/>
          <w:tab w:val="left" w:pos="4248"/>
          <w:tab w:val="left" w:pos="4956"/>
        </w:tabs>
        <w:spacing w:after="0" w:line="360" w:lineRule="auto"/>
        <w:ind w:firstLine="567"/>
        <w:jc w:val="both"/>
        <w:rPr>
          <w:rFonts w:eastAsia="Times New Roman"/>
          <w:color w:val="auto"/>
        </w:rPr>
      </w:pPr>
      <w:r w:rsidRPr="007943A0">
        <w:rPr>
          <w:rFonts w:eastAsia="Calibri"/>
          <w:color w:val="auto"/>
        </w:rPr>
        <w:lastRenderedPageBreak/>
        <w:t>Son çalışmaların, BChE ve AChE enzimlerinin plazma (serum), kırmızı kan hücreleri ve lökosit aktivitelerinin, Alzheimer hastalığı, diabetes mellitus, hipertansiyon, insülin direnci ve hiperlipidemi hastalarında yükseldiğini ortaya çıkarmıştır. BChE aktivitesinin yaşla ters orantılı olduğu ve albümin, kolesterol ve trigliseridlerin serum konsantrasyonları ve fazla kilo, obezite ve vücut yağ dağılımı ölçümleri ile pozitif bir şekilde ilişkili olduğu gözlemlenmiştir. Alzheimer hastalığı, diabetes mellitus, hipertansiyon, insülin direnci ve hiperlipidemi, butirilkolinesteraz enziminin aktivitesi artarken, hastalığın son aşamalarında veya bu hastalıklar ilerlediğinde ve tedaviye kolayca yatkın olunmadığında butirilkolinesteraz aktivitesi düşük olduğu belirlenmiştir. Bu durumlar hastalık süreçlerinde bu enzimlerin bir belirteç olarak kullanılabileceğini göstermektedir (Alcantara vd., 2002; Mahmoud, 2006; Lampon vd., 2012)</w:t>
      </w:r>
    </w:p>
    <w:p w14:paraId="74CA07F1" w14:textId="77777777" w:rsidR="007943A0" w:rsidRDefault="007943A0" w:rsidP="0030587D">
      <w:pPr>
        <w:widowControl w:val="0"/>
        <w:spacing w:after="0" w:line="360" w:lineRule="auto"/>
        <w:ind w:firstLine="709"/>
        <w:jc w:val="both"/>
        <w:rPr>
          <w:rFonts w:eastAsia="Calibri"/>
          <w:color w:val="auto"/>
          <w:lang w:val="en-US" w:eastAsia="en-US"/>
        </w:rPr>
      </w:pPr>
      <w:r w:rsidRPr="007943A0">
        <w:rPr>
          <w:rFonts w:eastAsia="Calibri"/>
          <w:color w:val="auto"/>
          <w:lang w:val="en-US" w:eastAsia="en-US"/>
        </w:rPr>
        <w:t>Asetilkolin, anti-enflamatuar bir molekül olduğundan, AChE ve BChE enzimlerinin konsantrasyonları arttığında, asetilkolin seviyelerinin düşmesine yol açacaktır. Bu durum ise, asetilkolinin uyguladığı anti-enflamatuar (iltihap önleyici) etkilerin yokluğuna veya azalmasına yol açar (Das, 2012).</w:t>
      </w:r>
    </w:p>
    <w:p w14:paraId="46708532" w14:textId="77777777" w:rsidR="009E3E83" w:rsidRPr="007943A0" w:rsidRDefault="009E3E83" w:rsidP="009E3E83">
      <w:pPr>
        <w:widowControl w:val="0"/>
        <w:spacing w:after="0" w:line="360" w:lineRule="auto"/>
        <w:ind w:firstLine="567"/>
        <w:jc w:val="both"/>
        <w:rPr>
          <w:rFonts w:eastAsia="Calibri"/>
          <w:color w:val="auto"/>
          <w:lang w:val="en-US" w:eastAsia="en-US"/>
        </w:rPr>
      </w:pPr>
    </w:p>
    <w:p w14:paraId="059FB0A0" w14:textId="79E076A2" w:rsidR="007943A0" w:rsidRDefault="007943A0" w:rsidP="009E3E83">
      <w:pPr>
        <w:pStyle w:val="Balk6"/>
        <w:spacing w:before="0" w:after="0" w:line="240" w:lineRule="auto"/>
        <w:rPr>
          <w:rFonts w:eastAsia="Calibri"/>
          <w:lang w:eastAsia="en-US"/>
        </w:rPr>
      </w:pPr>
      <w:bookmarkStart w:id="53" w:name="_Toc64567834"/>
      <w:r w:rsidRPr="007943A0">
        <w:rPr>
          <w:rFonts w:eastAsia="Calibri"/>
          <w:lang w:eastAsia="en-US"/>
        </w:rPr>
        <w:t>1.</w:t>
      </w:r>
      <w:r w:rsidR="00BA6DD8">
        <w:rPr>
          <w:rFonts w:eastAsia="Calibri"/>
          <w:lang w:eastAsia="en-US"/>
        </w:rPr>
        <w:t>1.</w:t>
      </w:r>
      <w:r w:rsidRPr="007943A0">
        <w:rPr>
          <w:rFonts w:eastAsia="Calibri"/>
          <w:lang w:eastAsia="en-US"/>
        </w:rPr>
        <w:t>3. Kolinesteraz Enzimi ve Alzheimer Hastalığı İlişkisi</w:t>
      </w:r>
      <w:bookmarkEnd w:id="53"/>
    </w:p>
    <w:p w14:paraId="5CC3D864" w14:textId="77777777" w:rsidR="009E3E83" w:rsidRPr="009E3E83" w:rsidRDefault="009E3E83" w:rsidP="009E3E83">
      <w:pPr>
        <w:spacing w:after="0" w:line="360" w:lineRule="auto"/>
        <w:rPr>
          <w:lang w:eastAsia="en-US"/>
        </w:rPr>
      </w:pPr>
    </w:p>
    <w:p w14:paraId="5A479834" w14:textId="4DDE7069"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Calibri"/>
          <w:color w:val="auto"/>
        </w:rPr>
      </w:pPr>
      <w:r w:rsidRPr="007943A0">
        <w:rPr>
          <w:rFonts w:eastAsia="Times New Roman"/>
          <w:color w:val="auto"/>
        </w:rPr>
        <w:t xml:space="preserve">Alzheimer hastalığı, insanlarda ruh halini, iletişim sorunlarını ortaya koyan insanlarda karakteristik özelliklerini etkileyen kompleks bir nöron hastalığıdır. Bazı korteks ve korikal bölgelerde, sinaptik olayların sinir uyarımı gerçekleşmesi esnasında bazı maddelerin kaybı ile gerçekleşir.  Bu eksikliğin asetilkolinesteraz inhibitörleri ile giderilebileceği deneylerle belirlenmiş ve çalışmalar başlatılmıştır. Bu tanı Alman Nörolog bilim adamı 1907 yılında Alois Alzheimer </w:t>
      </w:r>
      <w:r w:rsidR="00D97CD6">
        <w:rPr>
          <w:rFonts w:eastAsia="Times New Roman"/>
          <w:color w:val="auto"/>
        </w:rPr>
        <w:t xml:space="preserve">tarafından ortaya koyulmuştur. </w:t>
      </w:r>
      <w:r w:rsidRPr="007943A0">
        <w:rPr>
          <w:rFonts w:eastAsia="Calibri"/>
          <w:color w:val="auto"/>
        </w:rPr>
        <w:t xml:space="preserve">Alzheimer demans hastalığının bir tipidir ancak her demans hastası Alzheimer değildir genellikle 65 yaş üstünde gözükmektedir. Yani Alzheimer demansa sebep olan bir hastalıktır. </w:t>
      </w:r>
    </w:p>
    <w:p w14:paraId="07A6F7EF" w14:textId="1D483A65"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MyriadPro-Regular"/>
          <w:color w:val="auto"/>
        </w:rPr>
      </w:pPr>
      <w:r w:rsidRPr="007943A0">
        <w:rPr>
          <w:rFonts w:eastAsia="Calibri"/>
          <w:color w:val="auto"/>
        </w:rPr>
        <w:t xml:space="preserve">Demans hastalığı beyindeki nöronlarda kimyasal bir kayıp olmadan sadece bunama diye halk dili ile tabir edilir </w:t>
      </w:r>
      <w:r w:rsidRPr="007943A0">
        <w:rPr>
          <w:rFonts w:ascii="Courier New" w:eastAsia="Times New Roman" w:hAnsi="Courier New" w:cs="Courier New"/>
          <w:color w:val="auto"/>
        </w:rPr>
        <w:t xml:space="preserve"> </w:t>
      </w:r>
      <w:r w:rsidR="00D97CD6">
        <w:rPr>
          <w:rFonts w:eastAsia="Calibri"/>
          <w:color w:val="auto"/>
        </w:rPr>
        <w:t>Alzheimer</w:t>
      </w:r>
      <w:r w:rsidRPr="007943A0">
        <w:rPr>
          <w:rFonts w:eastAsia="Calibri"/>
          <w:color w:val="auto"/>
        </w:rPr>
        <w:t xml:space="preserve"> hastalığında ise sinir uyarılarının iletimi esnasında kimyasal kayıplar meydana gelmektedir</w:t>
      </w:r>
      <w:r w:rsidRPr="007943A0">
        <w:rPr>
          <w:rFonts w:eastAsia="Times New Roman"/>
          <w:color w:val="auto"/>
        </w:rPr>
        <w:t>(</w:t>
      </w:r>
      <w:r w:rsidRPr="007943A0">
        <w:rPr>
          <w:rFonts w:eastAsia="MyriadPro-Regular"/>
          <w:color w:val="auto"/>
        </w:rPr>
        <w:t>Mohsen vd., 2014).</w:t>
      </w:r>
    </w:p>
    <w:p w14:paraId="2B8234A9" w14:textId="5CEA1E8D"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Calibri"/>
          <w:color w:val="auto"/>
        </w:rPr>
      </w:pPr>
      <w:r w:rsidRPr="007943A0">
        <w:rPr>
          <w:rFonts w:eastAsia="Calibri"/>
          <w:color w:val="auto"/>
        </w:rPr>
        <w:t xml:space="preserve">Asetilkolin vücutta karaciğerde ve kan plazmasında bolca bulunmaktadır. Asetilkolin, merkez sinir sisteminde haberci olarak görev yapmaktadır. Beyinde bir uyarı algıladığı andan itibaren asetil ve kolin tranferaz enzimi sayesinde birleşip asetilkolini oluşturur ve beyindeki sinaptik arasındaki boşluğa bırakılır ve vesüküler olarak depolanır. </w:t>
      </w:r>
      <w:r w:rsidRPr="007943A0">
        <w:rPr>
          <w:rFonts w:eastAsia="Calibri"/>
          <w:color w:val="auto"/>
        </w:rPr>
        <w:lastRenderedPageBreak/>
        <w:t>Daha sonrasında asetilkolin postsinaptik resptörlere bağlanır. İleti diğer sinir ucuna iletilir ve resöptörlerden ayrılır bu esnada bazı kimyasal anyonik katyonik hücre geçişleri sağlanmakta</w:t>
      </w:r>
      <w:r w:rsidR="00CB3E92">
        <w:rPr>
          <w:rFonts w:eastAsia="Calibri"/>
          <w:color w:val="auto"/>
        </w:rPr>
        <w:t xml:space="preserve">dır ve boşta kalan asetilkolin, </w:t>
      </w:r>
      <w:r w:rsidRPr="007943A0">
        <w:rPr>
          <w:rFonts w:eastAsia="Calibri"/>
          <w:color w:val="auto"/>
        </w:rPr>
        <w:t xml:space="preserve">asetilkolin esteraz enzimi tarafından yıkılır ve ayrılır. Bu işlev sonunda sürekli bir şekilde elektron geçişlerinin devamlılığı sağlanmış olur. Bu işlem sürekli devam eder ( Göçer </w:t>
      </w:r>
      <w:r w:rsidRPr="007943A0">
        <w:rPr>
          <w:rFonts w:eastAsia="Calibri"/>
          <w:iCs/>
          <w:color w:val="auto"/>
        </w:rPr>
        <w:t xml:space="preserve">vd., </w:t>
      </w:r>
      <w:r w:rsidRPr="007943A0">
        <w:rPr>
          <w:rFonts w:eastAsia="Calibri"/>
          <w:color w:val="auto"/>
        </w:rPr>
        <w:t>2013; Uraz vd., 2017).</w:t>
      </w:r>
      <w:r w:rsidRPr="007943A0">
        <w:rPr>
          <w:rFonts w:ascii="Courier New" w:eastAsia="Calibri" w:hAnsi="Courier New" w:cs="Courier New"/>
          <w:color w:val="auto"/>
        </w:rPr>
        <w:t xml:space="preserve"> </w:t>
      </w:r>
    </w:p>
    <w:p w14:paraId="260A0AAA" w14:textId="6A47EE67" w:rsidR="0062001B" w:rsidRDefault="007943A0" w:rsidP="0062001B">
      <w:pPr>
        <w:autoSpaceDE w:val="0"/>
        <w:autoSpaceDN w:val="0"/>
        <w:adjustRightInd w:val="0"/>
        <w:spacing w:after="0" w:line="360" w:lineRule="auto"/>
        <w:ind w:firstLine="567"/>
        <w:jc w:val="both"/>
        <w:rPr>
          <w:rFonts w:eastAsia="MyriadPro-Regular"/>
          <w:color w:val="000000"/>
          <w:lang w:eastAsia="en-US"/>
        </w:rPr>
      </w:pPr>
      <w:r w:rsidRPr="007943A0">
        <w:rPr>
          <w:rFonts w:eastAsia="Calibri"/>
          <w:color w:val="auto"/>
          <w:lang w:eastAsia="en-US"/>
        </w:rPr>
        <w:t>Yarı geçirgen bir yapıya sahip olan sinir hücreleri asetilkolinesteraz enziminin kimyasal işlemler uygulanmasında aktif rol oynamaktadır. Sinir hücresi uyarıldığında hücre dışına mV olarak yüksek gelen akım hücre içerisine düşük mV olarak yansıyarak depolarizasyon olayı gerçekleşmiş olur. Depolarizyon diğer sinir uçlarınada yansıyarak sinir demeti halinde iletim devam eder. Bu</w:t>
      </w:r>
      <w:r w:rsidR="00F71F76">
        <w:rPr>
          <w:rFonts w:eastAsia="Calibri"/>
          <w:color w:val="auto"/>
          <w:lang w:eastAsia="en-US"/>
        </w:rPr>
        <w:t>nun temel nedeni bazı iyonların</w:t>
      </w:r>
      <w:r w:rsidRPr="007943A0">
        <w:rPr>
          <w:rFonts w:eastAsia="Calibri"/>
          <w:color w:val="auto"/>
          <w:lang w:eastAsia="en-US"/>
        </w:rPr>
        <w:t xml:space="preserve"> (Na</w:t>
      </w:r>
      <w:r w:rsidR="00F71F76" w:rsidRPr="00F71F76">
        <w:rPr>
          <w:rFonts w:eastAsia="Calibri"/>
          <w:color w:val="auto"/>
          <w:vertAlign w:val="superscript"/>
          <w:lang w:eastAsia="en-US"/>
        </w:rPr>
        <w:t>+</w:t>
      </w:r>
      <w:r w:rsidRPr="007943A0">
        <w:rPr>
          <w:rFonts w:eastAsia="Calibri"/>
          <w:color w:val="auto"/>
          <w:lang w:eastAsia="en-US"/>
        </w:rPr>
        <w:t>, K</w:t>
      </w:r>
      <w:r w:rsidR="00F71F76" w:rsidRPr="00F71F76">
        <w:rPr>
          <w:rFonts w:eastAsia="Calibri"/>
          <w:color w:val="auto"/>
          <w:vertAlign w:val="superscript"/>
          <w:lang w:eastAsia="en-US"/>
        </w:rPr>
        <w:t>+</w:t>
      </w:r>
      <w:r w:rsidRPr="007943A0">
        <w:rPr>
          <w:rFonts w:eastAsia="Calibri"/>
          <w:color w:val="auto"/>
          <w:lang w:eastAsia="en-US"/>
        </w:rPr>
        <w:t xml:space="preserve"> ,Mg</w:t>
      </w:r>
      <w:r w:rsidR="00F71F76" w:rsidRPr="00F71F76">
        <w:rPr>
          <w:rFonts w:eastAsia="Calibri"/>
          <w:color w:val="auto"/>
          <w:vertAlign w:val="superscript"/>
          <w:lang w:eastAsia="en-US"/>
        </w:rPr>
        <w:t>2+</w:t>
      </w:r>
      <w:r w:rsidRPr="007943A0">
        <w:rPr>
          <w:rFonts w:eastAsia="Calibri"/>
          <w:color w:val="auto"/>
          <w:lang w:eastAsia="en-US"/>
        </w:rPr>
        <w:t xml:space="preserve"> ve Ca</w:t>
      </w:r>
      <w:r w:rsidR="00F71F76" w:rsidRPr="00F71F76">
        <w:rPr>
          <w:rFonts w:eastAsia="Calibri"/>
          <w:color w:val="auto"/>
          <w:vertAlign w:val="superscript"/>
          <w:lang w:eastAsia="en-US"/>
        </w:rPr>
        <w:t>2+</w:t>
      </w:r>
      <w:r w:rsidRPr="007943A0">
        <w:rPr>
          <w:rFonts w:eastAsia="Calibri"/>
          <w:color w:val="auto"/>
          <w:lang w:eastAsia="en-US"/>
        </w:rPr>
        <w:t xml:space="preserve"> gibi) demetin üzerindeki birikimlerinden kaynaklanmaktır. </w:t>
      </w:r>
      <w:r w:rsidRPr="007943A0">
        <w:rPr>
          <w:rFonts w:eastAsia="Calibri"/>
          <w:color w:val="000000"/>
          <w:lang w:eastAsia="en-US"/>
        </w:rPr>
        <w:t xml:space="preserve">Uyarılan sinir hücresi uyarılma gerçekleşirken asetilkolin sinapsin boşluğuna salgılanır, sinir demeti kısa olduğundan sinapsis boşluğundan kolinestaraz enzimi tarafından asetilkolin parçalanır ve postsinaptik membranına ulaşır. </w:t>
      </w:r>
      <w:r w:rsidRPr="007943A0">
        <w:rPr>
          <w:rFonts w:eastAsia="MyriadPro-Regular"/>
          <w:color w:val="000000"/>
          <w:lang w:eastAsia="en-US"/>
        </w:rPr>
        <w:t>Uyarılma esnasında depolarize olan hücre, kanallarını açarak Ca</w:t>
      </w:r>
      <w:r w:rsidRPr="007943A0">
        <w:rPr>
          <w:rFonts w:eastAsia="MyriadPro-Regular"/>
          <w:color w:val="000000"/>
          <w:vertAlign w:val="superscript"/>
          <w:lang w:eastAsia="en-US"/>
        </w:rPr>
        <w:t>2+</w:t>
      </w:r>
      <w:r w:rsidRPr="007943A0">
        <w:rPr>
          <w:rFonts w:eastAsia="MyriadPro-Regular"/>
          <w:color w:val="000000"/>
          <w:lang w:eastAsia="en-US"/>
        </w:rPr>
        <w:t xml:space="preserve"> nin hücre içerisine girmesini sağlar. Ca</w:t>
      </w:r>
      <w:r w:rsidRPr="007943A0">
        <w:rPr>
          <w:rFonts w:eastAsia="MyriadPro-Regular"/>
          <w:color w:val="000000"/>
          <w:vertAlign w:val="superscript"/>
          <w:lang w:eastAsia="en-US"/>
        </w:rPr>
        <w:t xml:space="preserve">2+ </w:t>
      </w:r>
      <w:r w:rsidRPr="007943A0">
        <w:rPr>
          <w:rFonts w:eastAsia="MyriadPro-Regular"/>
          <w:color w:val="000000"/>
          <w:lang w:eastAsia="en-US"/>
        </w:rPr>
        <w:t>sayesinde asetilkolinin vezüküllere gitmesi sağlanmış olur ve vezüküller kanallarını tamamen açmış olur. Sinir demetleri uyarıldığından dolayı açılmış bu kanallarda Na</w:t>
      </w:r>
      <w:r w:rsidRPr="007943A0">
        <w:rPr>
          <w:rFonts w:eastAsia="MyriadPro-Regular"/>
          <w:color w:val="000000"/>
          <w:vertAlign w:val="superscript"/>
          <w:lang w:eastAsia="en-US"/>
        </w:rPr>
        <w:t>+</w:t>
      </w:r>
      <w:r w:rsidRPr="007943A0">
        <w:rPr>
          <w:rFonts w:eastAsia="MyriadPro-Regular"/>
          <w:color w:val="000000"/>
          <w:lang w:eastAsia="en-US"/>
        </w:rPr>
        <w:t xml:space="preserve"> ve K</w:t>
      </w:r>
      <w:r w:rsidRPr="007943A0">
        <w:rPr>
          <w:rFonts w:eastAsia="MyriadPro-Regular"/>
          <w:color w:val="000000"/>
          <w:vertAlign w:val="superscript"/>
          <w:lang w:eastAsia="en-US"/>
        </w:rPr>
        <w:t>+</w:t>
      </w:r>
      <w:r w:rsidRPr="007943A0">
        <w:rPr>
          <w:rFonts w:eastAsia="MyriadPro-Regular"/>
          <w:color w:val="000000"/>
          <w:lang w:eastAsia="en-US"/>
        </w:rPr>
        <w:t xml:space="preserve"> iyonları sürekli olarak bolca bulunmaktadır. </w:t>
      </w:r>
      <w:r w:rsidR="00F71F76">
        <w:rPr>
          <w:rFonts w:eastAsia="MyriadPro-Regular"/>
          <w:color w:val="000000"/>
          <w:lang w:eastAsia="en-US"/>
        </w:rPr>
        <w:t>Açılan kanallardan öncelikle Na</w:t>
      </w:r>
      <w:r w:rsidRPr="007943A0">
        <w:rPr>
          <w:rFonts w:eastAsia="MyriadPro-Regular"/>
          <w:color w:val="000000"/>
          <w:vertAlign w:val="superscript"/>
          <w:lang w:eastAsia="en-US"/>
        </w:rPr>
        <w:t>+</w:t>
      </w:r>
      <w:r w:rsidRPr="007943A0">
        <w:rPr>
          <w:rFonts w:eastAsia="MyriadPro-Regular"/>
          <w:color w:val="000000"/>
          <w:lang w:eastAsia="en-US"/>
        </w:rPr>
        <w:t xml:space="preserve"> iyonu giriş yapar depolarize olur, diğer uyarıların devamlılığını sağlamak için K</w:t>
      </w:r>
      <w:r w:rsidRPr="007943A0">
        <w:rPr>
          <w:rFonts w:eastAsia="MyriadPro-Regular"/>
          <w:color w:val="000000"/>
          <w:vertAlign w:val="superscript"/>
          <w:lang w:eastAsia="en-US"/>
        </w:rPr>
        <w:t>+</w:t>
      </w:r>
      <w:r w:rsidRPr="007943A0">
        <w:rPr>
          <w:rFonts w:eastAsia="MyriadPro-Regular"/>
          <w:color w:val="000000"/>
          <w:lang w:eastAsia="en-US"/>
        </w:rPr>
        <w:t xml:space="preserve"> iyonunu tetikleyerek hücre dışına K</w:t>
      </w:r>
      <w:r w:rsidRPr="007943A0">
        <w:rPr>
          <w:rFonts w:eastAsia="MyriadPro-Regular"/>
          <w:color w:val="000000"/>
          <w:vertAlign w:val="superscript"/>
          <w:lang w:eastAsia="en-US"/>
        </w:rPr>
        <w:t>+</w:t>
      </w:r>
      <w:r w:rsidRPr="007943A0">
        <w:rPr>
          <w:rFonts w:eastAsia="MyriadPro-Regular"/>
          <w:color w:val="000000"/>
          <w:lang w:eastAsia="en-US"/>
        </w:rPr>
        <w:t xml:space="preserve"> iyonunu çıkarmış olur ve hücreyi bu sefer repolarize etmiş olur. Uyarının sinir hücresi ucuna geldiğinde Ca</w:t>
      </w:r>
      <w:r w:rsidRPr="007943A0">
        <w:rPr>
          <w:rFonts w:eastAsia="MyriadPro-Regular"/>
          <w:color w:val="000000"/>
          <w:vertAlign w:val="superscript"/>
          <w:lang w:eastAsia="en-US"/>
        </w:rPr>
        <w:t>2+</w:t>
      </w:r>
      <w:r w:rsidRPr="007943A0">
        <w:rPr>
          <w:rFonts w:eastAsia="MyriadPro-Regular"/>
          <w:color w:val="000000"/>
          <w:lang w:eastAsia="en-US"/>
        </w:rPr>
        <w:t xml:space="preserve"> kanalları açılır ve bu esnada kreps çemberinden gelen asetil koenzim A ve kolin kolintaransferaz enzimi ile birleşerek asetilkolini oluşturur. Ca</w:t>
      </w:r>
      <w:r w:rsidRPr="007943A0">
        <w:rPr>
          <w:rFonts w:eastAsia="MyriadPro-Regular"/>
          <w:color w:val="000000"/>
          <w:vertAlign w:val="superscript"/>
          <w:lang w:eastAsia="en-US"/>
        </w:rPr>
        <w:t xml:space="preserve">2+ </w:t>
      </w:r>
      <w:r w:rsidRPr="007943A0">
        <w:rPr>
          <w:rFonts w:eastAsia="MyriadPro-Regular"/>
          <w:color w:val="000000"/>
          <w:lang w:eastAsia="en-US"/>
        </w:rPr>
        <w:t>hücre kanallarının açılması ile hücreye girer ve vesüküllerde birikmiş olan asetilkolini presinaptik boşluğuna ekzositoz ile çıkarmış olur. Postsinaptik bölgede bulunan asetilkolin, asetilkoinestaraz enzimi tarafından asetat ve kolin olarak parçalar. Kolini hücre içerinde tekrar kullanımını sağlamak için presinaptik bölgeye yollar ve asetat hücre dışına çıkarılır (Nels</w:t>
      </w:r>
      <w:r w:rsidR="008C080B">
        <w:rPr>
          <w:rFonts w:eastAsia="MyriadPro-Regular"/>
          <w:color w:val="000000"/>
          <w:lang w:eastAsia="en-US"/>
        </w:rPr>
        <w:t>on ve Cox, 2005; Yıldız, 2013).</w:t>
      </w:r>
    </w:p>
    <w:p w14:paraId="6491CCAB" w14:textId="77777777" w:rsidR="0062001B" w:rsidRDefault="0062001B" w:rsidP="0062001B">
      <w:pPr>
        <w:autoSpaceDE w:val="0"/>
        <w:autoSpaceDN w:val="0"/>
        <w:adjustRightInd w:val="0"/>
        <w:spacing w:after="0" w:line="240" w:lineRule="auto"/>
        <w:ind w:firstLine="567"/>
        <w:jc w:val="both"/>
        <w:rPr>
          <w:rFonts w:eastAsia="MyriadPro-Regular"/>
          <w:color w:val="000000"/>
          <w:lang w:eastAsia="en-US"/>
        </w:rPr>
      </w:pPr>
    </w:p>
    <w:p w14:paraId="611E253A" w14:textId="77777777" w:rsidR="0062001B" w:rsidRPr="007943A0" w:rsidRDefault="0062001B" w:rsidP="0062001B">
      <w:pPr>
        <w:autoSpaceDE w:val="0"/>
        <w:autoSpaceDN w:val="0"/>
        <w:adjustRightInd w:val="0"/>
        <w:spacing w:after="0" w:line="240" w:lineRule="auto"/>
        <w:ind w:firstLine="567"/>
        <w:jc w:val="both"/>
        <w:rPr>
          <w:rFonts w:eastAsia="MyriadPro-Regular"/>
          <w:color w:val="000000"/>
          <w:lang w:eastAsia="en-US"/>
        </w:rPr>
      </w:pPr>
    </w:p>
    <w:p w14:paraId="654F234F" w14:textId="77777777" w:rsidR="007943A0" w:rsidRDefault="007943A0" w:rsidP="00A02568">
      <w:pPr>
        <w:shd w:val="clear" w:color="auto" w:fill="FFFFFF"/>
        <w:tabs>
          <w:tab w:val="left" w:pos="916"/>
          <w:tab w:val="left" w:pos="1832"/>
          <w:tab w:val="left" w:pos="2748"/>
          <w:tab w:val="left" w:pos="3664"/>
          <w:tab w:val="left" w:pos="4580"/>
          <w:tab w:val="left" w:pos="5496"/>
          <w:tab w:val="left" w:pos="7371"/>
        </w:tabs>
        <w:spacing w:after="0" w:line="240" w:lineRule="auto"/>
        <w:jc w:val="center"/>
        <w:rPr>
          <w:rFonts w:eastAsia="MyriadPro-Regular"/>
          <w:color w:val="auto"/>
        </w:rPr>
      </w:pPr>
      <w:r w:rsidRPr="007943A0">
        <w:rPr>
          <w:rFonts w:eastAsia="MyriadPro-Regular"/>
          <w:noProof/>
          <w:color w:val="auto"/>
        </w:rPr>
        <w:lastRenderedPageBreak/>
        <w:drawing>
          <wp:inline distT="0" distB="0" distL="0" distR="0" wp14:anchorId="6E858E03" wp14:editId="5BFC16E9">
            <wp:extent cx="3746500" cy="1662896"/>
            <wp:effectExtent l="0" t="0" r="6350"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46500" cy="1662896"/>
                    </a:xfrm>
                    <a:prstGeom prst="rect">
                      <a:avLst/>
                    </a:prstGeom>
                    <a:noFill/>
                    <a:ln>
                      <a:noFill/>
                    </a:ln>
                  </pic:spPr>
                </pic:pic>
              </a:graphicData>
            </a:graphic>
          </wp:inline>
        </w:drawing>
      </w:r>
    </w:p>
    <w:p w14:paraId="39970429" w14:textId="77777777" w:rsidR="007F69F9" w:rsidRPr="007943A0" w:rsidRDefault="007F69F9" w:rsidP="00A02568">
      <w:pPr>
        <w:shd w:val="clear" w:color="auto" w:fill="FFFFFF"/>
        <w:tabs>
          <w:tab w:val="left" w:pos="916"/>
          <w:tab w:val="left" w:pos="1832"/>
          <w:tab w:val="left" w:pos="2748"/>
          <w:tab w:val="left" w:pos="3664"/>
          <w:tab w:val="left" w:pos="4580"/>
          <w:tab w:val="left" w:pos="5496"/>
          <w:tab w:val="left" w:pos="7371"/>
        </w:tabs>
        <w:spacing w:after="0" w:line="240" w:lineRule="auto"/>
        <w:jc w:val="center"/>
        <w:rPr>
          <w:rFonts w:eastAsia="MyriadPro-Regular"/>
          <w:color w:val="auto"/>
        </w:rPr>
      </w:pPr>
    </w:p>
    <w:p w14:paraId="40BBEFEC" w14:textId="17A3CB81" w:rsidR="005B72C0" w:rsidRDefault="007943A0" w:rsidP="003A4634">
      <w:pPr>
        <w:shd w:val="clear" w:color="auto" w:fill="FFFFFF"/>
        <w:tabs>
          <w:tab w:val="left" w:pos="916"/>
          <w:tab w:val="left" w:pos="1832"/>
          <w:tab w:val="left" w:pos="2748"/>
          <w:tab w:val="left" w:pos="3664"/>
          <w:tab w:val="left" w:pos="4580"/>
          <w:tab w:val="left" w:pos="5496"/>
        </w:tabs>
        <w:spacing w:after="0" w:line="240" w:lineRule="auto"/>
        <w:ind w:left="2381" w:right="1134" w:hanging="2381"/>
        <w:rPr>
          <w:rFonts w:eastAsia="MyriadPro-Regular"/>
          <w:color w:val="auto"/>
        </w:rPr>
      </w:pPr>
      <w:r w:rsidRPr="007943A0">
        <w:rPr>
          <w:rFonts w:eastAsia="MyriadPro-Regular"/>
          <w:color w:val="auto"/>
        </w:rPr>
        <w:t xml:space="preserve"> </w:t>
      </w:r>
      <w:r w:rsidR="00DE15B9">
        <w:rPr>
          <w:rFonts w:eastAsia="MyriadPro-Regular"/>
          <w:color w:val="auto"/>
        </w:rPr>
        <w:t xml:space="preserve">                      </w:t>
      </w:r>
      <w:r w:rsidRPr="007943A0">
        <w:rPr>
          <w:rFonts w:eastAsia="MyriadPro-Regular"/>
          <w:color w:val="auto"/>
        </w:rPr>
        <w:t>Şekil 1.3.</w:t>
      </w:r>
      <w:r w:rsidR="00DE15B9">
        <w:rPr>
          <w:rFonts w:eastAsia="MyriadPro-Regular"/>
          <w:color w:val="auto"/>
        </w:rPr>
        <w:t xml:space="preserve"> </w:t>
      </w:r>
      <w:r w:rsidRPr="007943A0">
        <w:rPr>
          <w:rFonts w:eastAsia="MyriadPro-Regular"/>
          <w:color w:val="auto"/>
        </w:rPr>
        <w:t>Asetilkolines</w:t>
      </w:r>
      <w:r w:rsidR="003636EC">
        <w:rPr>
          <w:rFonts w:eastAsia="MyriadPro-Regular"/>
          <w:color w:val="auto"/>
        </w:rPr>
        <w:t xml:space="preserve">teraz enziminin sinir hücreleri </w:t>
      </w:r>
      <w:r w:rsidRPr="007943A0">
        <w:rPr>
          <w:rFonts w:eastAsia="MyriadPro-Regular"/>
          <w:color w:val="auto"/>
        </w:rPr>
        <w:t>aksiyon boyunca kimyasal işlevi (Yıldız 2013)</w:t>
      </w:r>
    </w:p>
    <w:p w14:paraId="01C2E3F7" w14:textId="77777777" w:rsidR="003A4634" w:rsidRDefault="003A4634" w:rsidP="003A4634">
      <w:pPr>
        <w:shd w:val="clear" w:color="auto" w:fill="FFFFFF"/>
        <w:tabs>
          <w:tab w:val="left" w:pos="916"/>
          <w:tab w:val="left" w:pos="1832"/>
          <w:tab w:val="left" w:pos="2748"/>
          <w:tab w:val="left" w:pos="3664"/>
          <w:tab w:val="left" w:pos="4580"/>
          <w:tab w:val="left" w:pos="5496"/>
        </w:tabs>
        <w:spacing w:after="0" w:line="240" w:lineRule="auto"/>
        <w:ind w:left="2381" w:right="1134" w:hanging="2381"/>
        <w:rPr>
          <w:rFonts w:eastAsia="MyriadPro-Regular"/>
          <w:color w:val="auto"/>
        </w:rPr>
      </w:pPr>
    </w:p>
    <w:p w14:paraId="2CB034E0" w14:textId="77777777" w:rsidR="003A4634" w:rsidRPr="007943A0" w:rsidRDefault="003A4634" w:rsidP="003A4634">
      <w:pPr>
        <w:shd w:val="clear" w:color="auto" w:fill="FFFFFF"/>
        <w:tabs>
          <w:tab w:val="left" w:pos="916"/>
          <w:tab w:val="left" w:pos="1832"/>
          <w:tab w:val="left" w:pos="2748"/>
          <w:tab w:val="left" w:pos="3664"/>
          <w:tab w:val="left" w:pos="4580"/>
          <w:tab w:val="left" w:pos="5496"/>
        </w:tabs>
        <w:spacing w:after="0" w:line="240" w:lineRule="auto"/>
        <w:ind w:left="2381" w:right="1134" w:hanging="2381"/>
        <w:rPr>
          <w:rFonts w:eastAsia="MyriadPro-Regular"/>
          <w:color w:val="auto"/>
        </w:rPr>
      </w:pPr>
    </w:p>
    <w:p w14:paraId="3609FE93" w14:textId="77777777" w:rsidR="007943A0" w:rsidRDefault="007943A0" w:rsidP="0030587D">
      <w:pPr>
        <w:shd w:val="clear" w:color="auto" w:fill="FFFFFF"/>
        <w:spacing w:after="0" w:line="360" w:lineRule="auto"/>
        <w:ind w:firstLine="567"/>
        <w:jc w:val="both"/>
        <w:rPr>
          <w:rFonts w:eastAsia="Times New Roman"/>
          <w:color w:val="auto"/>
        </w:rPr>
      </w:pPr>
      <w:r w:rsidRPr="007943A0">
        <w:rPr>
          <w:rFonts w:eastAsia="Calibri"/>
          <w:color w:val="auto"/>
        </w:rPr>
        <w:t xml:space="preserve">Alzheimer hastalığı, beyindeki kimyasal olaylar esnasında geçekleşirken yukarıda belirtilen kimyasal olayların oluşması ile demans hastalığından farklı olduğu görülmektedir. Bu hastalıkta asetilkolin presinaptikte azalmasından dolayı asetilkolinestaraz enziminin aktivitesininde azalması gerekmektedir bunu sağlamak amacıyla bazı inhibitörler kullanılmaktadır. </w:t>
      </w:r>
      <w:r w:rsidRPr="007943A0">
        <w:rPr>
          <w:rFonts w:eastAsia="Times New Roman"/>
          <w:color w:val="auto"/>
        </w:rPr>
        <w:t xml:space="preserve">(Nelson ve Cox, 2005). Butirilkolinesteraz (BChE), AChE'nin aktivitesinin bir ortak düzenleyicisi olarak görev yaptığından her iki enzimin inhibitörü olarak işlev gören terapötik maddeler, Alzheimer hastalığına ilave faydalar sağlayabilirler (Meena vd., 2013). </w:t>
      </w:r>
    </w:p>
    <w:p w14:paraId="1721FC77" w14:textId="77777777" w:rsidR="009E3E83" w:rsidRPr="007943A0" w:rsidRDefault="009E3E83" w:rsidP="0030587D">
      <w:pPr>
        <w:shd w:val="clear" w:color="auto" w:fill="FFFFFF"/>
        <w:spacing w:after="0" w:line="360" w:lineRule="auto"/>
        <w:ind w:firstLine="567"/>
        <w:jc w:val="both"/>
        <w:rPr>
          <w:rFonts w:eastAsia="Calibri"/>
          <w:color w:val="auto"/>
        </w:rPr>
      </w:pPr>
    </w:p>
    <w:p w14:paraId="387830D5" w14:textId="68122E5E" w:rsidR="007943A0" w:rsidRDefault="007943A0" w:rsidP="009E3E83">
      <w:pPr>
        <w:pStyle w:val="Balk6"/>
        <w:spacing w:before="0" w:after="0" w:line="240" w:lineRule="auto"/>
        <w:rPr>
          <w:lang w:eastAsia="en-US"/>
        </w:rPr>
      </w:pPr>
      <w:bookmarkStart w:id="54" w:name="_Toc64567835"/>
      <w:r w:rsidRPr="007943A0">
        <w:rPr>
          <w:lang w:eastAsia="en-US"/>
        </w:rPr>
        <w:t>1.</w:t>
      </w:r>
      <w:r w:rsidR="00BA6DD8">
        <w:rPr>
          <w:lang w:eastAsia="en-US"/>
        </w:rPr>
        <w:t>1.4. Koline</w:t>
      </w:r>
      <w:r w:rsidRPr="007943A0">
        <w:rPr>
          <w:lang w:eastAsia="en-US"/>
        </w:rPr>
        <w:t>steraz İnhibitörleri</w:t>
      </w:r>
      <w:bookmarkEnd w:id="54"/>
    </w:p>
    <w:p w14:paraId="0DDF2C03" w14:textId="77777777" w:rsidR="009E3E83" w:rsidRPr="009E3E83" w:rsidRDefault="009E3E83" w:rsidP="009E3E83">
      <w:pPr>
        <w:spacing w:after="0" w:line="360" w:lineRule="auto"/>
        <w:rPr>
          <w:lang w:eastAsia="en-US"/>
        </w:rPr>
      </w:pPr>
    </w:p>
    <w:p w14:paraId="75F636A3" w14:textId="77777777" w:rsidR="007943A0" w:rsidRPr="007943A0" w:rsidRDefault="007943A0" w:rsidP="0030587D">
      <w:pPr>
        <w:widowControl w:val="0"/>
        <w:spacing w:after="0" w:line="360" w:lineRule="auto"/>
        <w:ind w:firstLine="567"/>
        <w:jc w:val="both"/>
        <w:rPr>
          <w:rFonts w:eastAsia="Calibri"/>
          <w:color w:val="auto"/>
          <w:kern w:val="16"/>
          <w:shd w:val="clear" w:color="auto" w:fill="FFFFFF"/>
          <w:lang w:eastAsia="en-US"/>
        </w:rPr>
      </w:pPr>
      <w:r w:rsidRPr="007943A0">
        <w:rPr>
          <w:rFonts w:eastAsia="Calibri"/>
          <w:color w:val="auto"/>
          <w:kern w:val="16"/>
          <w:shd w:val="clear" w:color="auto" w:fill="FFFFFF"/>
          <w:lang w:eastAsia="en-US"/>
        </w:rPr>
        <w:t>Asetilkolinesteraz enziminin aktive inhibitörleri, Ellman ve arkadaşları tarafından spektrofotometrik yöntem ile modifiye edilmiştir. Asetilkolin estreaz enzim inhibtörleri genellikle, silah sanayisinde (sinir gazı), pestisistlerde, tıbbi tedavi amaçlı olarak kullanılırlar (Colovic vd., 2013).</w:t>
      </w:r>
    </w:p>
    <w:p w14:paraId="019B1490" w14:textId="77777777" w:rsidR="007943A0" w:rsidRPr="007943A0" w:rsidRDefault="007943A0" w:rsidP="0030587D">
      <w:pPr>
        <w:widowControl w:val="0"/>
        <w:spacing w:after="0" w:line="360" w:lineRule="auto"/>
        <w:ind w:firstLine="567"/>
        <w:jc w:val="both"/>
        <w:rPr>
          <w:rFonts w:eastAsia="Calibri"/>
          <w:color w:val="auto"/>
          <w:kern w:val="16"/>
          <w:shd w:val="clear" w:color="auto" w:fill="FFFFFF"/>
          <w:lang w:eastAsia="en-US"/>
        </w:rPr>
      </w:pPr>
      <w:r w:rsidRPr="007943A0">
        <w:rPr>
          <w:rFonts w:eastAsia="Calibri"/>
          <w:color w:val="auto"/>
          <w:kern w:val="16"/>
          <w:shd w:val="clear" w:color="auto" w:fill="FFFFFF"/>
          <w:lang w:eastAsia="en-US"/>
        </w:rPr>
        <w:t>Tıbbi olarak asetilkolin estereaz enzimi, beyindeki nörotransfer açıdan çok önemlidir. Asetilkolin; miktarına göre Alzheimer hastalığında büyük bir etkendir ancak inhibitörler sayesinde bu miktarın azaltılması yolunda çeşitli epoksitler kullanılmış ancak vücutta yan etkileri olması sebebiyle kullanılmaktan vazgeçilmiştir.(Mohsen vd., 2015).</w:t>
      </w:r>
    </w:p>
    <w:p w14:paraId="357089D7" w14:textId="27B288CC" w:rsidR="007943A0" w:rsidRPr="007943A0" w:rsidRDefault="00F71F76" w:rsidP="0030587D">
      <w:pPr>
        <w:widowControl w:val="0"/>
        <w:spacing w:after="0" w:line="360" w:lineRule="auto"/>
        <w:ind w:firstLine="567"/>
        <w:jc w:val="both"/>
        <w:rPr>
          <w:rFonts w:eastAsia="Calibri"/>
          <w:color w:val="auto"/>
          <w:kern w:val="16"/>
          <w:shd w:val="clear" w:color="auto" w:fill="FFFFFF"/>
          <w:lang w:eastAsia="en-US"/>
        </w:rPr>
      </w:pPr>
      <w:r>
        <w:rPr>
          <w:rFonts w:eastAsia="Calibri"/>
          <w:color w:val="auto"/>
          <w:kern w:val="16"/>
          <w:shd w:val="clear" w:color="auto" w:fill="FFFFFF"/>
          <w:lang w:eastAsia="en-US"/>
        </w:rPr>
        <w:t>Rivastigmin</w:t>
      </w:r>
      <w:r w:rsidR="007943A0" w:rsidRPr="007943A0">
        <w:rPr>
          <w:rFonts w:eastAsia="Calibri"/>
          <w:color w:val="auto"/>
          <w:kern w:val="16"/>
          <w:shd w:val="clear" w:color="auto" w:fill="FFFFFF"/>
          <w:lang w:eastAsia="en-US"/>
        </w:rPr>
        <w:t xml:space="preserve">, </w:t>
      </w:r>
      <w:r>
        <w:rPr>
          <w:rFonts w:eastAsia="Calibri"/>
          <w:color w:val="auto"/>
          <w:kern w:val="16"/>
          <w:shd w:val="clear" w:color="auto" w:fill="FFFFFF"/>
          <w:lang w:eastAsia="en-US"/>
        </w:rPr>
        <w:t>Donopezil, Galantamin ve Takrin</w:t>
      </w:r>
      <w:r w:rsidR="007943A0" w:rsidRPr="007943A0">
        <w:rPr>
          <w:rFonts w:eastAsia="Calibri"/>
          <w:color w:val="auto"/>
          <w:kern w:val="16"/>
          <w:shd w:val="clear" w:color="auto" w:fill="FFFFFF"/>
          <w:lang w:eastAsia="en-US"/>
        </w:rPr>
        <w:t xml:space="preserve"> FDA (Amerikan İlaç Dairesi) nın belirlemiş olduğu ilaçlar olarak kullanılmaktadır ancak günümüzde halen asetilkolinestreaz enzimi inhibitörleri çalışmaları hızla devam etmektedir. (Sharma vd, 2011). Rivastigmin </w:t>
      </w:r>
      <w:r>
        <w:rPr>
          <w:rFonts w:eastAsia="Calibri"/>
          <w:color w:val="auto"/>
          <w:kern w:val="16"/>
          <w:shd w:val="clear" w:color="auto" w:fill="FFFFFF"/>
          <w:lang w:eastAsia="en-US"/>
        </w:rPr>
        <w:t>ve galantamin bitkisel kaynaklı</w:t>
      </w:r>
      <w:r w:rsidR="007943A0" w:rsidRPr="007943A0">
        <w:rPr>
          <w:rFonts w:eastAsia="Calibri"/>
          <w:color w:val="auto"/>
          <w:kern w:val="16"/>
          <w:shd w:val="clear" w:color="auto" w:fill="FFFFFF"/>
          <w:lang w:eastAsia="en-US"/>
        </w:rPr>
        <w:t xml:space="preserve">; takrin ve donepezil ise sentetik ilaçlardır.  </w:t>
      </w:r>
    </w:p>
    <w:p w14:paraId="3964D96B" w14:textId="77777777" w:rsidR="007943A0" w:rsidRPr="007943A0" w:rsidRDefault="007943A0" w:rsidP="0030587D">
      <w:pPr>
        <w:widowControl w:val="0"/>
        <w:spacing w:after="0" w:line="360" w:lineRule="auto"/>
        <w:ind w:firstLine="567"/>
        <w:jc w:val="both"/>
        <w:rPr>
          <w:rFonts w:eastAsia="Calibri"/>
          <w:color w:val="auto"/>
          <w:kern w:val="16"/>
          <w:shd w:val="clear" w:color="auto" w:fill="FFFFFF"/>
          <w:lang w:eastAsia="en-US"/>
        </w:rPr>
      </w:pPr>
      <w:r w:rsidRPr="007943A0">
        <w:rPr>
          <w:rFonts w:eastAsia="Calibri"/>
          <w:color w:val="auto"/>
          <w:kern w:val="16"/>
          <w:shd w:val="clear" w:color="auto" w:fill="FFFFFF"/>
          <w:lang w:eastAsia="en-US"/>
        </w:rPr>
        <w:t xml:space="preserve">Takrin; asetilkolinesteraz enzimi inhibörü olarak kullanılan ilk inhibötördür. </w:t>
      </w:r>
      <w:r w:rsidRPr="007943A0">
        <w:rPr>
          <w:rFonts w:eastAsia="Calibri"/>
          <w:color w:val="auto"/>
          <w:kern w:val="16"/>
          <w:shd w:val="clear" w:color="auto" w:fill="FFFFFF"/>
          <w:lang w:eastAsia="en-US"/>
        </w:rPr>
        <w:lastRenderedPageBreak/>
        <w:t xml:space="preserve">Asetilkolinesteraz yanında butirilkolinesteraz ve diğer kolinesterazları da inhibe eder. Hepatotoksisitesi ve gastrointestinal yan etkileri kullanımını sınırlamaktadır. Takrinin yüksek dozlarının Alzheimer hastalığında orta derecede etkin olduğunda birleşilmektedir (Yüksel 2000; Qizilbash vd., 2007). </w:t>
      </w:r>
    </w:p>
    <w:p w14:paraId="6CF5BAC8" w14:textId="15F6B27C" w:rsidR="007943A0" w:rsidRPr="007943A0" w:rsidRDefault="007943A0" w:rsidP="0030587D">
      <w:pPr>
        <w:widowControl w:val="0"/>
        <w:spacing w:after="0" w:line="360" w:lineRule="auto"/>
        <w:ind w:firstLine="567"/>
        <w:jc w:val="both"/>
        <w:rPr>
          <w:rFonts w:eastAsia="Calibri"/>
          <w:color w:val="auto"/>
          <w:kern w:val="16"/>
          <w:shd w:val="clear" w:color="auto" w:fill="FFFFFF"/>
          <w:lang w:eastAsia="en-US"/>
        </w:rPr>
      </w:pPr>
      <w:r w:rsidRPr="007943A0">
        <w:rPr>
          <w:rFonts w:eastAsia="Calibri"/>
          <w:color w:val="auto"/>
          <w:kern w:val="16"/>
          <w:shd w:val="clear" w:color="auto" w:fill="FFFFFF"/>
          <w:lang w:eastAsia="en-US"/>
        </w:rPr>
        <w:t>Donopezil için 1980</w:t>
      </w:r>
      <w:r w:rsidR="00F71F76">
        <w:rPr>
          <w:rFonts w:eastAsia="Calibri"/>
          <w:color w:val="auto"/>
          <w:kern w:val="16"/>
          <w:shd w:val="clear" w:color="auto" w:fill="FFFFFF"/>
          <w:lang w:eastAsia="en-US"/>
        </w:rPr>
        <w:t>’</w:t>
      </w:r>
      <w:r w:rsidRPr="007943A0">
        <w:rPr>
          <w:rFonts w:eastAsia="Calibri"/>
          <w:color w:val="auto"/>
          <w:kern w:val="16"/>
          <w:shd w:val="clear" w:color="auto" w:fill="FFFFFF"/>
          <w:lang w:eastAsia="en-US"/>
        </w:rPr>
        <w:t>li yıllarda çalışmalara başlanmış olup şu anda en çok kullanılan inhibitördür. Merkezi sinir sistemindeki asetil kolin esterazlara yüksek oranda özgül olması ilacın önemli bir üstünlüğüdür. Butirilkolinesteraz üzerindeki etkisi daha azdır. Donepezil HCl; beyaz kristal toz şeklinde olan kloroform, su ve glasiyelasetikasitle çözünebilir bir bileşiktir. Yarılanma ömrü yaklaşık 70 saattir. Cinsiyet, ırk ve sigara alışkanlığının bileşiğin plazma konsantrasyonları üzerinde önemli bir etkisi bulunmamaktadır. Alınan dozun % 57’si idrarla atılırken, % 17’si değişmeden atılıp % 15’i ise dışkı ile atıldığı tespit edilmiştir. Donepezil beyine kolayca nüfuz eder ve plazma kolinesteraza göre, daha etkili ve seçici beyin kolinesteraz inhibitörü olarak görev yapar. Bu nedenle güvenilirdir, hepatotoksik etkisi yoktur, ve tolere edilmesi hepatik hasarlı hastalarda iyidir</w:t>
      </w:r>
      <w:r w:rsidRPr="007943A0">
        <w:rPr>
          <w:rFonts w:ascii="Calibri" w:eastAsia="Calibri" w:hAnsi="Calibri"/>
          <w:color w:val="auto"/>
          <w:sz w:val="22"/>
          <w:szCs w:val="22"/>
          <w:lang w:val="en-US" w:eastAsia="en-US"/>
        </w:rPr>
        <w:t xml:space="preserve"> (</w:t>
      </w:r>
      <w:r w:rsidRPr="007943A0">
        <w:rPr>
          <w:rFonts w:eastAsia="Calibri"/>
          <w:color w:val="auto"/>
          <w:kern w:val="16"/>
          <w:shd w:val="clear" w:color="auto" w:fill="FFFFFF"/>
          <w:lang w:eastAsia="en-US"/>
        </w:rPr>
        <w:t>Sugimotovd., 2002; Reyes,2004). Donepezil, Alzheimer için dizayn edilen piperidin yapısında asetilkolinesteraz inhibitörüdür. Dönüşümlü ve yarışmasız olarak asetilkolinesterazı inhibe eder. Takrin BChE ve AChE aynı derecede inhibe ederken donepezil AChE’yi daha fazla inhibe eder (Çakıroğlu, 2009</w:t>
      </w:r>
      <w:r w:rsidRPr="007943A0">
        <w:rPr>
          <w:rFonts w:eastAsia="Calibri"/>
          <w:color w:val="auto"/>
          <w:lang w:val="en-US" w:eastAsia="en-US"/>
        </w:rPr>
        <w:t>; Koç, 2010;</w:t>
      </w:r>
      <w:r w:rsidRPr="007943A0">
        <w:rPr>
          <w:rFonts w:ascii="Calibri" w:eastAsia="Calibri" w:hAnsi="Calibri"/>
          <w:color w:val="auto"/>
          <w:sz w:val="22"/>
          <w:szCs w:val="22"/>
          <w:lang w:val="en-US" w:eastAsia="en-US"/>
        </w:rPr>
        <w:t xml:space="preserve"> </w:t>
      </w:r>
      <w:r w:rsidRPr="007943A0">
        <w:rPr>
          <w:rFonts w:eastAsia="Calibri"/>
          <w:color w:val="auto"/>
          <w:kern w:val="16"/>
          <w:shd w:val="clear" w:color="auto" w:fill="FFFFFF"/>
          <w:lang w:eastAsia="en-US"/>
        </w:rPr>
        <w:t xml:space="preserve">Rodrigues, 2014). </w:t>
      </w:r>
    </w:p>
    <w:p w14:paraId="2A0B6D7D" w14:textId="49A809E6" w:rsidR="007943A0" w:rsidRPr="007943A0" w:rsidRDefault="007943A0" w:rsidP="0030587D">
      <w:pPr>
        <w:widowControl w:val="0"/>
        <w:spacing w:after="0" w:line="360" w:lineRule="auto"/>
        <w:ind w:firstLine="567"/>
        <w:jc w:val="both"/>
        <w:rPr>
          <w:rFonts w:eastAsia="Calibri"/>
          <w:color w:val="auto"/>
          <w:kern w:val="16"/>
          <w:shd w:val="clear" w:color="auto" w:fill="FFFFFF"/>
          <w:lang w:eastAsia="en-US"/>
        </w:rPr>
      </w:pPr>
      <w:r w:rsidRPr="007943A0">
        <w:rPr>
          <w:rFonts w:eastAsia="Calibri"/>
          <w:color w:val="auto"/>
          <w:kern w:val="16"/>
          <w:shd w:val="clear" w:color="auto" w:fill="FFFFFF"/>
          <w:lang w:eastAsia="en-US"/>
        </w:rPr>
        <w:t>Rivastigmin ise kalabar fasulyesinin zehirli tohumlarından üretilmiş olup sentetik bir inhibitördür. Kapsül ve sıvı olarak Parkinson hastalığında ilaç tedavisi olarak kullanılmaktadır. Fenil karbamat yapısında asetilkolinesteraz inhibitörüdür. Enzime esterik bölgesinden bağlanır ve bölgeden çok yavaş ayrılır. Bu özelliği ile yalancı geri dönüşlü inhibisy</w:t>
      </w:r>
      <w:r w:rsidR="00F430C5">
        <w:rPr>
          <w:rFonts w:eastAsia="Calibri"/>
          <w:color w:val="auto"/>
          <w:kern w:val="16"/>
          <w:shd w:val="clear" w:color="auto" w:fill="FFFFFF"/>
          <w:lang w:eastAsia="en-US"/>
        </w:rPr>
        <w:t xml:space="preserve">ona neden olduğu kabul edilir. </w:t>
      </w:r>
      <w:r w:rsidRPr="007943A0">
        <w:rPr>
          <w:rFonts w:eastAsia="Calibri"/>
          <w:color w:val="auto"/>
          <w:kern w:val="16"/>
          <w:shd w:val="clear" w:color="auto" w:fill="FFFFFF"/>
          <w:lang w:eastAsia="en-US"/>
        </w:rPr>
        <w:t xml:space="preserve">Rivastigmin kortikal ve hipokampal alanlardaki asetilkolinesterazı beynin diğer bölgelerine göre daha fazla inhibe eder. Ayrıca bütirilkolinesterazı da inhibe eder.  Bu özelliği ile rivastigmin solunum ve ekstrapiramidal sistem yan etkilerine yol açmadan özgül olarak bellek bozukluklarını düzeltir (Yüksel, 2000;  Rodrigues, 2014). </w:t>
      </w:r>
    </w:p>
    <w:p w14:paraId="13741E5E" w14:textId="21E9E232" w:rsidR="007943A0" w:rsidRPr="007943A0" w:rsidRDefault="007943A0" w:rsidP="0030587D">
      <w:pPr>
        <w:widowControl w:val="0"/>
        <w:spacing w:after="0" w:line="360" w:lineRule="auto"/>
        <w:ind w:firstLine="567"/>
        <w:jc w:val="both"/>
        <w:rPr>
          <w:rFonts w:eastAsia="Calibri"/>
          <w:color w:val="auto"/>
          <w:kern w:val="16"/>
          <w:shd w:val="clear" w:color="auto" w:fill="FFFFFF"/>
          <w:lang w:eastAsia="en-US"/>
        </w:rPr>
      </w:pPr>
      <w:r w:rsidRPr="007943A0">
        <w:rPr>
          <w:rFonts w:eastAsia="Calibri"/>
          <w:color w:val="auto"/>
          <w:kern w:val="16"/>
          <w:shd w:val="clear" w:color="auto" w:fill="FFFFFF"/>
          <w:lang w:eastAsia="en-US"/>
        </w:rPr>
        <w:t>Galantamin ; doğal olarak bulunan tek inhibitördür.  Kardelen ve nergiz çiçeğindeki alkoloidlerin yapısında bulunmakla beraber doğal üretimi</w:t>
      </w:r>
      <w:r w:rsidR="0058398D">
        <w:rPr>
          <w:rFonts w:eastAsia="Calibri"/>
          <w:color w:val="auto"/>
          <w:kern w:val="16"/>
          <w:shd w:val="clear" w:color="auto" w:fill="FFFFFF"/>
          <w:lang w:eastAsia="en-US"/>
        </w:rPr>
        <w:t xml:space="preserve"> </w:t>
      </w:r>
      <w:r w:rsidRPr="007943A0">
        <w:rPr>
          <w:rFonts w:eastAsia="Calibri"/>
          <w:color w:val="auto"/>
          <w:kern w:val="16"/>
          <w:shd w:val="clear" w:color="auto" w:fill="FFFFFF"/>
          <w:lang w:eastAsia="en-US"/>
        </w:rPr>
        <w:t>1958 yılında üretilmeye başlamıştır.  Asetilkolinesteraz enzimi inhibitörlerinden bir de ilaç olarak kullanılan Huperzin A bulunmaktadır. Huperzin ve kurtpençesi bitkisinden alkoloidlerinin saflaştrırılması sonucu elde edilmiştir. IC</w:t>
      </w:r>
      <w:r w:rsidRPr="007943A0">
        <w:rPr>
          <w:rFonts w:eastAsia="Calibri"/>
          <w:color w:val="auto"/>
          <w:kern w:val="16"/>
          <w:shd w:val="clear" w:color="auto" w:fill="FFFFFF"/>
          <w:vertAlign w:val="subscript"/>
          <w:lang w:eastAsia="en-US"/>
        </w:rPr>
        <w:t xml:space="preserve">50 </w:t>
      </w:r>
      <w:r w:rsidR="00F71F76">
        <w:rPr>
          <w:rFonts w:eastAsia="Calibri"/>
          <w:color w:val="auto"/>
          <w:kern w:val="16"/>
          <w:shd w:val="clear" w:color="auto" w:fill="FFFFFF"/>
          <w:lang w:eastAsia="en-US"/>
        </w:rPr>
        <w:t>ve K</w:t>
      </w:r>
      <w:r w:rsidRPr="00F71F76">
        <w:rPr>
          <w:rFonts w:eastAsia="Calibri"/>
          <w:color w:val="auto"/>
          <w:kern w:val="16"/>
          <w:shd w:val="clear" w:color="auto" w:fill="FFFFFF"/>
          <w:vertAlign w:val="subscript"/>
          <w:lang w:eastAsia="en-US"/>
        </w:rPr>
        <w:t>i</w:t>
      </w:r>
      <w:r w:rsidRPr="007943A0">
        <w:rPr>
          <w:rFonts w:eastAsia="Calibri"/>
          <w:color w:val="auto"/>
          <w:kern w:val="16"/>
          <w:shd w:val="clear" w:color="auto" w:fill="FFFFFF"/>
          <w:lang w:eastAsia="en-US"/>
        </w:rPr>
        <w:t xml:space="preserve"> çalışmaları yapıldıktan sonra inhibitörün çok ciddi sonuçlar verdiği görülmektedir. Huperzin A inhibitörü günümüzde Alzheimer </w:t>
      </w:r>
      <w:r w:rsidRPr="007943A0">
        <w:rPr>
          <w:rFonts w:eastAsia="Calibri"/>
          <w:color w:val="auto"/>
          <w:kern w:val="16"/>
          <w:shd w:val="clear" w:color="auto" w:fill="FFFFFF"/>
          <w:lang w:eastAsia="en-US"/>
        </w:rPr>
        <w:lastRenderedPageBreak/>
        <w:t>hastalığı tedavisinde kullanılmaktadır ve halen üzerinde çalışmalar devam etmektedir (Raves, 1997; Tang ,1999; Heinrich, 2004; Drtinova, 2014).</w:t>
      </w:r>
    </w:p>
    <w:p w14:paraId="68BDBA56" w14:textId="77777777"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Günümüzde savaş silahı olarak kullanılan organofosfat yada karbamat yapılı sinir gazları, insektisit olarak kullanılan benzer kimyasallar ile zehirlenmelerde, BChE profilaktik amaçla kullanılmaktadır. Enzim, süksinilkolin, aspirin, kokain gibi ester yapıdaki ilaçları, organofosfat pestisitleri ve kimyasal savaş ajanlarını parçalama özelliği nedeniyle hem farmakolojik hem de toksikolojik açıdan önemlidir. Kolinesteraz inhibitörleri, sadece savaşlarda kullanılan kimyasal silah değil, Alzheimer, myastenia gravis veya glokom gibi hastalıklarda da ilaç olarak kullanılan maddelerdir (Massoulie vd., 1993; Bodur ve Çokuğraş, 2006).</w:t>
      </w:r>
    </w:p>
    <w:p w14:paraId="51A26C4D" w14:textId="0EFFACE6" w:rsidR="007943A0" w:rsidRDefault="0058398D"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Pr>
          <w:rFonts w:eastAsia="Times New Roman"/>
          <w:color w:val="auto"/>
        </w:rPr>
        <w:t>Aynı zamanda i</w:t>
      </w:r>
      <w:r w:rsidR="007943A0" w:rsidRPr="007943A0">
        <w:rPr>
          <w:rFonts w:eastAsia="Times New Roman"/>
          <w:color w:val="auto"/>
        </w:rPr>
        <w:t>nhibitörlerin seçiciliği karşılaştırıldığında; donepezil ve galantamin, AChE için göreceli seçiciliğe sahipken, takrin ve rivastigminin hem AChE hem de BChE'yi birlikte inhibe ettiği görülmektedir. AChE ve BChE, ACh'nin sinaptik hidrolizinde eşzamanlı olarak aktif görünmekte, nörotransmiter etkisini sonlandırmakta ve ACh düzeylerini birlikte düzenlemektedir (Mesulam 2003; Lane vd. 2006).</w:t>
      </w:r>
    </w:p>
    <w:p w14:paraId="46E81334" w14:textId="77777777" w:rsidR="009E3E83" w:rsidRPr="007943A0" w:rsidRDefault="009E3E83"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p>
    <w:p w14:paraId="5F21B7DD" w14:textId="2A811F29" w:rsidR="007943A0" w:rsidRDefault="007943A0" w:rsidP="009E3E83">
      <w:pPr>
        <w:pStyle w:val="Balk6"/>
        <w:tabs>
          <w:tab w:val="left" w:pos="567"/>
        </w:tabs>
        <w:spacing w:before="0" w:after="0" w:line="240" w:lineRule="auto"/>
        <w:rPr>
          <w:rFonts w:eastAsia="Calibri"/>
          <w:lang w:eastAsia="en-US"/>
        </w:rPr>
      </w:pPr>
      <w:bookmarkStart w:id="55" w:name="_Toc64567836"/>
      <w:r w:rsidRPr="007943A0">
        <w:rPr>
          <w:rFonts w:eastAsia="Calibri"/>
          <w:lang w:eastAsia="en-US"/>
        </w:rPr>
        <w:t>1.</w:t>
      </w:r>
      <w:r w:rsidR="00BA6DD8">
        <w:rPr>
          <w:rFonts w:eastAsia="Calibri"/>
          <w:lang w:eastAsia="en-US"/>
        </w:rPr>
        <w:t>1.</w:t>
      </w:r>
      <w:r w:rsidRPr="007943A0">
        <w:rPr>
          <w:rFonts w:eastAsia="Calibri"/>
          <w:lang w:eastAsia="en-US"/>
        </w:rPr>
        <w:t>5.  Piperidin Yapısı ve Klinik Önemi</w:t>
      </w:r>
      <w:bookmarkEnd w:id="55"/>
    </w:p>
    <w:p w14:paraId="50358489" w14:textId="77777777" w:rsidR="009E3E83" w:rsidRPr="009E3E83" w:rsidRDefault="009E3E83" w:rsidP="009E3E83">
      <w:pPr>
        <w:spacing w:after="0" w:line="360" w:lineRule="auto"/>
        <w:rPr>
          <w:lang w:eastAsia="en-US"/>
        </w:rPr>
      </w:pPr>
    </w:p>
    <w:p w14:paraId="2B9776B9" w14:textId="6C971051"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Piperidin yapısında bulunan donepezil asetilkolinesteraz inhibitörüdür ve Alzheimer tedavisinde kullanılan klinik bir ilaçtır. Diğer ilaçlara göre daha seçici bir etkiye sahiptir ve merkezi sinir sistemindeki asetilkolinesterazlara yüksek oranda özgül olması ilacın önemli bir üstünlüğüdür. Butirilkolinesteraz üzerindeki etkisi daha azdır.  Bu özelliği ile takrin ve fizostigminden ayrılır. Diğer ilaçlarla karşılaştırıldığında donepezilin yan etkileri daha az görülmektedir ve bilişsel bozukluklarla beraber davranışsal belirtileride düzeltmektedir. Klinik çalı</w:t>
      </w:r>
      <w:r w:rsidR="0058398D">
        <w:rPr>
          <w:rFonts w:eastAsia="Times New Roman"/>
          <w:color w:val="auto"/>
        </w:rPr>
        <w:t>şmalarda Alzheimer hastalığında</w:t>
      </w:r>
      <w:r w:rsidRPr="007943A0">
        <w:rPr>
          <w:rFonts w:eastAsia="Times New Roman"/>
          <w:color w:val="auto"/>
        </w:rPr>
        <w:t>ki ilerlemeyi durdurduğu, bilişsel işlevleri önemli derecede düzelttiği belirtilmiştir (Yüksel, 2000).</w:t>
      </w:r>
    </w:p>
    <w:p w14:paraId="6AE44773" w14:textId="7DE2D406" w:rsidR="008C080B" w:rsidRDefault="007943A0" w:rsidP="00841F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Azot atomu içeren heterosiklik bileşiklerin içerisinde piperidin yapıları ayrı bir öneme sahiptir. Piperidinler bazı farmasötiklerin üretiminde ve ayrıca gıda katkı maddesi olarak kullanılmaktadırlar. Piperidinler sebzeler de dahil olmak üzere çeşitli gıda ürünlerinde doğal olarak bulunm</w:t>
      </w:r>
      <w:r w:rsidR="008C080B">
        <w:rPr>
          <w:rFonts w:eastAsia="Times New Roman"/>
          <w:color w:val="auto"/>
        </w:rPr>
        <w:t xml:space="preserve">aktadır (Neurath vd., 1977). </w:t>
      </w:r>
    </w:p>
    <w:p w14:paraId="62AB316D" w14:textId="77777777" w:rsidR="00841F16" w:rsidRPr="007943A0" w:rsidRDefault="00841F16" w:rsidP="00841F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p>
    <w:p w14:paraId="03C28509" w14:textId="77777777" w:rsidR="007943A0" w:rsidRDefault="007943A0" w:rsidP="00841F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olor w:val="auto"/>
        </w:rPr>
      </w:pPr>
      <w:r w:rsidRPr="007943A0">
        <w:rPr>
          <w:rFonts w:eastAsia="Times New Roman"/>
          <w:noProof/>
          <w:color w:val="auto"/>
        </w:rPr>
        <w:lastRenderedPageBreak/>
        <w:drawing>
          <wp:inline distT="0" distB="0" distL="0" distR="0" wp14:anchorId="3E976CD3" wp14:editId="5236ACA0">
            <wp:extent cx="1824111" cy="1261640"/>
            <wp:effectExtent l="0" t="0" r="5080"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38606" cy="1271666"/>
                    </a:xfrm>
                    <a:prstGeom prst="rect">
                      <a:avLst/>
                    </a:prstGeom>
                    <a:noFill/>
                    <a:ln>
                      <a:noFill/>
                    </a:ln>
                  </pic:spPr>
                </pic:pic>
              </a:graphicData>
            </a:graphic>
          </wp:inline>
        </w:drawing>
      </w:r>
    </w:p>
    <w:p w14:paraId="71877341" w14:textId="77777777" w:rsidR="007F69F9" w:rsidRPr="007943A0" w:rsidRDefault="007F69F9" w:rsidP="00841F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olor w:val="auto"/>
        </w:rPr>
      </w:pPr>
    </w:p>
    <w:p w14:paraId="0ED42C4C" w14:textId="5C940F51" w:rsidR="008C080B" w:rsidRDefault="008C080B" w:rsidP="00841F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olor w:val="auto"/>
        </w:rPr>
      </w:pPr>
      <w:r>
        <w:rPr>
          <w:rFonts w:eastAsia="Times New Roman"/>
          <w:color w:val="auto"/>
        </w:rPr>
        <w:t>Şekil 1.4. Piperidin</w:t>
      </w:r>
    </w:p>
    <w:p w14:paraId="371C85C5" w14:textId="77777777" w:rsidR="00841F16" w:rsidRDefault="00841F16" w:rsidP="00841F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olor w:val="auto"/>
        </w:rPr>
      </w:pPr>
    </w:p>
    <w:p w14:paraId="397925E1" w14:textId="77777777" w:rsidR="00841F16" w:rsidRPr="007943A0" w:rsidRDefault="00841F16" w:rsidP="00841F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eastAsia="Times New Roman"/>
          <w:color w:val="auto"/>
        </w:rPr>
      </w:pPr>
    </w:p>
    <w:p w14:paraId="7374C2B5" w14:textId="77777777" w:rsid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Endüstride çözücü, sertleştirici, ara madde, katalizör ve kompleks yapıcı ajan olarak kullanılırlar. İlaç endüstrisinde, lokal anestezikler, analjezikler, antimikrobiyal ilaçlar ve diğer farmasötik ürünlerin yapısında bulunmaktadır. Piperidin halkası bir antidepresan ilaç olan paroksetin gibi, klinikte kullanılan birçok etken maddenin de ana iskeletini oluşturmaktadır. Kimyasal piperidin halkası taşıyan bileşiklerin antioksidan, antikanser, antibakteriyel, antifungal, antiülser ve antihiv gibi farmakolojik aktiviteleri bulunduğu çalışmalardan bilinmektedir. (Thomas vd., 2013; Kaya, 2018).</w:t>
      </w:r>
    </w:p>
    <w:p w14:paraId="51774732" w14:textId="77777777" w:rsidR="009E3E83" w:rsidRPr="007943A0" w:rsidRDefault="009E3E83"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p>
    <w:p w14:paraId="615E84C0" w14:textId="0281D04B" w:rsidR="007943A0" w:rsidRDefault="007943A0" w:rsidP="009E3E83">
      <w:pPr>
        <w:pStyle w:val="Balk6"/>
        <w:spacing w:before="0" w:after="0" w:line="240" w:lineRule="auto"/>
        <w:rPr>
          <w:lang w:eastAsia="en-US"/>
        </w:rPr>
      </w:pPr>
      <w:bookmarkStart w:id="56" w:name="_Toc64567837"/>
      <w:r w:rsidRPr="007943A0">
        <w:rPr>
          <w:lang w:eastAsia="en-US"/>
        </w:rPr>
        <w:t>1.</w:t>
      </w:r>
      <w:r w:rsidR="00BA6DD8">
        <w:rPr>
          <w:lang w:eastAsia="en-US"/>
        </w:rPr>
        <w:t>1.</w:t>
      </w:r>
      <w:r w:rsidRPr="007943A0">
        <w:rPr>
          <w:lang w:eastAsia="en-US"/>
        </w:rPr>
        <w:t>6. Önceki Çalışmalar</w:t>
      </w:r>
      <w:bookmarkEnd w:id="56"/>
    </w:p>
    <w:p w14:paraId="67F32519" w14:textId="77777777" w:rsidR="009E3E83" w:rsidRPr="009E3E83" w:rsidRDefault="009E3E83" w:rsidP="009E3E83">
      <w:pPr>
        <w:spacing w:after="0" w:line="360" w:lineRule="auto"/>
        <w:rPr>
          <w:lang w:eastAsia="en-US"/>
        </w:rPr>
      </w:pPr>
    </w:p>
    <w:p w14:paraId="0217A247" w14:textId="19684F14"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Piperidin halkası, proton alıcı olarak görev yapan üçüncül bir azot elementine sahiptir. Böylece, azot elementi kuarterner forma dönüşür ve elektrostatik çekim ile AChE'nin anyonik bölgesi ile etkileşime girebilir. Bu etkileşim nedeniyle, piperidin türevleri genellikle AChE'nin yeni inhibit</w:t>
      </w:r>
      <w:r w:rsidR="00F430C5">
        <w:rPr>
          <w:rFonts w:eastAsia="Times New Roman"/>
          <w:color w:val="auto"/>
        </w:rPr>
        <w:t xml:space="preserve">ör adayları olarak bilinirler. </w:t>
      </w:r>
      <w:r w:rsidRPr="007943A0">
        <w:rPr>
          <w:rFonts w:eastAsia="Times New Roman"/>
          <w:color w:val="auto"/>
        </w:rPr>
        <w:t xml:space="preserve">Son çalışmalarda, piperidin halka sisteminin önemi üzerinde durulmuştur. ( Özturan Özer vd., 2013; Levent vd., 2016) </w:t>
      </w:r>
    </w:p>
    <w:p w14:paraId="5FB9402E" w14:textId="77777777"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 xml:space="preserve">Altıntop ve arkadaşlarının yaptıkları bir çalışmada, piperidin türevlerinin, AChE aktivitesi üzerindeki diğer heterosiklik bileşiklerden daha etkili olduğu gösterilmiştir (Altıntop vd., 2013). Alzheimer hastalığının tedavisi için yeni ilaçlar geliştirmek amacıyla, bir grup N′-2- (4-Benzilpiperidin- / piperazin-1-il) asilhidrazonları sentezlemişlerdir. Asetilkolinesteraz, butirilkolinesteraz enzim inhibisyon deneyleri sonucunda, bileşiklerin hem asetilkolinesteraz hem de butirilkolinesteraz'ı orta düzeyde inhibe ettiğini gözlemlemişlerdir (Özturan Özer vd., 2013). </w:t>
      </w:r>
    </w:p>
    <w:p w14:paraId="60DFFC01" w14:textId="77777777"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 xml:space="preserve">Yine Levent ve arkadaşları 2016 yılında antikolinesteraz etkilerini gözlemlemek amacıyla bazı yeni piperidin türevleri  (4-Piperidin-1-il-asetofenon, 4- [4- (Piperidin-1-il) fenil] -2-aminotiyazol gibi) sentezlemişlerdir. Bileşiklerin enzim üzerinde inhibisyonu </w:t>
      </w:r>
      <w:r w:rsidRPr="007943A0">
        <w:rPr>
          <w:rFonts w:eastAsia="Times New Roman"/>
          <w:color w:val="auto"/>
        </w:rPr>
        <w:lastRenderedPageBreak/>
        <w:t xml:space="preserve">gözlenmiş olup en iyi AChE inhibisyonunun  % 73.07 ve % 59.26 inhibisyon oranlarıyla sırasıyla 1 μM ve 0.1 μM konsantrasyonlarda 3,4-dikloro-N- (4- (4- (piperidin-1-il) fenil) tiazol-2-il) benzamid bileşiği tarafından oluştuğu bildirilmiştir(Levent vd., 2016). </w:t>
      </w:r>
    </w:p>
    <w:p w14:paraId="0BD3944C" w14:textId="640D2576"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 xml:space="preserve">Çalışmalarda hidrazonlar ve piperidin halkası içeren bileşikler, ilaç tasarımında faydalı substratlar olarak kabul edildiğinden bir çalışmada, etil 4-oksopiperidin-1-karboksilat ve 2,6-difenilpiperidin-4-on'dan türetilen yeni benzoil hidrazonların sentezlenmesi amaçlanmıştır. Sentezlenen bileşikler, antioksidan, antikolinesteraz ve antikanser aktiviteleri açısından incelenmiştir. Sentezlenen 19 bileşikten en yüksek antikolinesteraz aktivitesine sahip olan bileşiğin N'-(2,6-difenilpiperidin-4-il)-4 klorobenzohidrazid olduğu gözlmlenmiştir. Diğer bileşikler AChE enzimi için 50-100mM arasında BChE ise 50,00-155,57 </w:t>
      </w:r>
      <w:r w:rsidRPr="007943A0">
        <w:rPr>
          <w:rFonts w:ascii="Symbol" w:eastAsia="Times New Roman" w:hAnsi="Symbol"/>
          <w:color w:val="auto"/>
        </w:rPr>
        <w:t></w:t>
      </w:r>
      <w:r w:rsidRPr="007943A0">
        <w:rPr>
          <w:rFonts w:eastAsia="Times New Roman"/>
          <w:color w:val="auto"/>
        </w:rPr>
        <w:t>M IC</w:t>
      </w:r>
      <w:r w:rsidRPr="007943A0">
        <w:rPr>
          <w:rFonts w:eastAsia="Times New Roman"/>
          <w:color w:val="auto"/>
          <w:vertAlign w:val="subscript"/>
        </w:rPr>
        <w:t>50</w:t>
      </w:r>
      <w:r w:rsidRPr="007943A0">
        <w:rPr>
          <w:rFonts w:eastAsia="Times New Roman"/>
          <w:color w:val="auto"/>
        </w:rPr>
        <w:t xml:space="preserve"> değerlerine sahipken bu bileşiğin IC</w:t>
      </w:r>
      <w:r w:rsidRPr="0058398D">
        <w:rPr>
          <w:rFonts w:eastAsia="Times New Roman"/>
          <w:color w:val="auto"/>
          <w:vertAlign w:val="subscript"/>
        </w:rPr>
        <w:t xml:space="preserve">50 </w:t>
      </w:r>
      <w:r w:rsidRPr="007943A0">
        <w:rPr>
          <w:rFonts w:eastAsia="Times New Roman"/>
          <w:color w:val="auto"/>
        </w:rPr>
        <w:t xml:space="preserve">değerleri sıarsıyla 41,19 </w:t>
      </w:r>
      <w:r w:rsidRPr="007943A0">
        <w:rPr>
          <w:rFonts w:ascii="Symbol" w:eastAsia="Times New Roman" w:hAnsi="Symbol"/>
          <w:color w:val="auto"/>
        </w:rPr>
        <w:t></w:t>
      </w:r>
      <w:r w:rsidRPr="007943A0">
        <w:rPr>
          <w:rFonts w:eastAsia="Times New Roman"/>
          <w:color w:val="auto"/>
        </w:rPr>
        <w:t xml:space="preserve">M ve 31,30 </w:t>
      </w:r>
      <w:r w:rsidRPr="007943A0">
        <w:rPr>
          <w:rFonts w:ascii="Symbol" w:eastAsia="Times New Roman" w:hAnsi="Symbol"/>
          <w:color w:val="auto"/>
        </w:rPr>
        <w:t></w:t>
      </w:r>
      <w:r w:rsidRPr="007943A0">
        <w:rPr>
          <w:rFonts w:eastAsia="Times New Roman"/>
          <w:color w:val="auto"/>
        </w:rPr>
        <w:t>M olarak bulunmuştur. Ayrıca bileşiğin BChE enzimi için kullanılan standart galantaminden (BChE IC</w:t>
      </w:r>
      <w:r w:rsidRPr="0058398D">
        <w:rPr>
          <w:rFonts w:eastAsia="Times New Roman"/>
          <w:color w:val="auto"/>
          <w:vertAlign w:val="subscript"/>
        </w:rPr>
        <w:t>50</w:t>
      </w:r>
      <w:r w:rsidRPr="007943A0">
        <w:rPr>
          <w:rFonts w:eastAsia="Times New Roman"/>
          <w:color w:val="auto"/>
        </w:rPr>
        <w:t>:46,03</w:t>
      </w:r>
      <w:r w:rsidRPr="007943A0">
        <w:rPr>
          <w:rFonts w:ascii="Symbol" w:eastAsia="Times New Roman" w:hAnsi="Symbol"/>
          <w:color w:val="auto"/>
        </w:rPr>
        <w:t></w:t>
      </w:r>
      <w:r w:rsidRPr="007943A0">
        <w:rPr>
          <w:rFonts w:eastAsia="Times New Roman"/>
          <w:color w:val="auto"/>
        </w:rPr>
        <w:t>M) daha iyi bir inhibi</w:t>
      </w:r>
      <w:r w:rsidR="0058398D">
        <w:rPr>
          <w:rFonts w:eastAsia="Times New Roman"/>
          <w:color w:val="auto"/>
        </w:rPr>
        <w:t>tör olduğu da gözlemlenmiştir</w:t>
      </w:r>
      <w:r w:rsidRPr="007943A0">
        <w:rPr>
          <w:rFonts w:eastAsia="Times New Roman"/>
          <w:color w:val="auto"/>
        </w:rPr>
        <w:t xml:space="preserve"> (Karaman vd., 2016). </w:t>
      </w:r>
    </w:p>
    <w:p w14:paraId="4EECEA98" w14:textId="77777777"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Bu şekilde piperidin türevlerinin sentetik olarak sentezlendiği çalışmalar dışında bitkilerden izole edilen doğal bileşiklerden yeni piperidin türevi bileşiklerinin sentezi ve aktivitesinin incelenmesi gibi çalışmalarda mevcuttur.</w:t>
      </w:r>
      <w:r w:rsidRPr="007943A0">
        <w:rPr>
          <w:rFonts w:ascii="Courier New" w:eastAsia="Times New Roman" w:hAnsi="Courier New" w:cs="Courier New"/>
          <w:color w:val="auto"/>
          <w:sz w:val="20"/>
          <w:szCs w:val="20"/>
        </w:rPr>
        <w:t xml:space="preserve"> </w:t>
      </w:r>
      <w:r w:rsidRPr="007943A0">
        <w:rPr>
          <w:rFonts w:eastAsia="Times New Roman"/>
          <w:color w:val="auto"/>
        </w:rPr>
        <w:t>Cassia spectabilis (DC) Irwin et Barn (Leguminosae) isimli baklagiller bitkisi çiçeklerinin etanol ekstraktından izole edilen spektalinden yeni piperidin alkoloidleri sentezlenmiştir (2R, 3R, 6S) -2-Metil-6- (13-oksotetradesil)-piperidin-3-il asetat hidroklorür ve tert-bütil (2R, 3R, 6S)-2-metil-6-(13-oksotetradesil)-piperidin-3-il karbonat hidroklorür bileşiklerinin rat beyni asetilkolinesterazını inhibe ederek, 7,32 ve 15,1 mM'lik IC</w:t>
      </w:r>
      <w:r w:rsidRPr="007943A0">
        <w:rPr>
          <w:rFonts w:eastAsia="Times New Roman"/>
          <w:color w:val="auto"/>
          <w:vertAlign w:val="subscript"/>
        </w:rPr>
        <w:t xml:space="preserve">50 </w:t>
      </w:r>
      <w:r w:rsidRPr="007943A0">
        <w:rPr>
          <w:rFonts w:eastAsia="Times New Roman"/>
          <w:color w:val="auto"/>
        </w:rPr>
        <w:t>değerleri sergiledikleri ve sırasıyla rat beyni butirilkolinesteraza karşı 21 ve 9,5 kat daha az etkili oldukları görülmüştür. Bu yarı sentetik bileşiklerin, beyin asetilkolinesteraza karşı önemli bir seçicilikle in vivo kolinesteraz inhibitörleri olarak görev yapabileceği belirtilmiştir (Viegas vd., 2005).</w:t>
      </w:r>
    </w:p>
    <w:p w14:paraId="71F0B1E4" w14:textId="2990868F"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 xml:space="preserve">Piperidin türevleri ile ilgili belirtilen enzimler üzerinde yapılan çalışmalar </w:t>
      </w:r>
      <w:r w:rsidR="00F430C5">
        <w:rPr>
          <w:rFonts w:eastAsia="Times New Roman"/>
          <w:color w:val="auto"/>
        </w:rPr>
        <w:t>dikkate alındığında</w:t>
      </w:r>
      <w:r w:rsidRPr="007943A0">
        <w:rPr>
          <w:rFonts w:eastAsia="Times New Roman"/>
          <w:color w:val="auto"/>
        </w:rPr>
        <w:t>, yaptığımız literatür taraması sonucu çalışmamızda kullanılacak olan 1-etil-4-hidroksi-4-fenil piperidin-3-il) (fenil) metanon ve (1-metil-4-hidroksi-4-fenil piperidin-3-il) (fenil) metanon bileşiklerinin AChE ve BChE enzimleri ile ilgili yapılan enzim kinetiği çalışmalarına rastlanamamıştır.</w:t>
      </w:r>
    </w:p>
    <w:p w14:paraId="39E56E84" w14:textId="77777777"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İlaç üretiminde önemli olan diğer bir özellikte kullanılacak bileşiklerin atimikrobiyal aktiviteye sahip olmalarıdır.</w:t>
      </w:r>
    </w:p>
    <w:p w14:paraId="31CD8D01" w14:textId="281CFE0A"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lastRenderedPageBreak/>
        <w:t>Farmasötik kimy</w:t>
      </w:r>
      <w:r w:rsidR="0058398D">
        <w:rPr>
          <w:rFonts w:eastAsia="Times New Roman"/>
          <w:color w:val="auto"/>
        </w:rPr>
        <w:t>a alanında Çırdaklı tarafından b</w:t>
      </w:r>
      <w:r w:rsidRPr="007943A0">
        <w:rPr>
          <w:rFonts w:eastAsia="Times New Roman"/>
          <w:color w:val="auto"/>
        </w:rPr>
        <w:t>azı N-(4-Sübstitüebenziliden)-5-Fenil-1,3,4-Tiyadiazol-2-Amin Türevleri Üzerinde yapılmış, bileşiklerin S. aureus, P. aeruginosa, E. faecalis, E. coli 'ye karşı etkileri incelenmiştir. Çalışma sonucunda piperidin ve piperizin türevi olan (N-(4-(4-benzilpiperazin-1-il)benziliden)-5-fenil-1,3,4-tiyadiazol-2-amin ve N-(4-(4-benzilpiperidin-1-il)benziliden)-5-fenil-1,3,4-tiyadiazol-2-amin) içinde bulunduğu bazı maddelerin diğerlerine göre yüksek aktiviteye sahip olduğu görülmüştür (Çırdaklı 2018).</w:t>
      </w:r>
    </w:p>
    <w:p w14:paraId="35A72B0B" w14:textId="77777777"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 xml:space="preserve"> Başka bir çalışmada 50 adet alkaloid yapısındaki piridin ve piperidin türevi indirgenme ürünleri sentezlenmiş antimikrobiyal aktivite çalışmalarında; en iyi aktiviteyi sırasıyla alkil bileşikleri, metil sübstitüe, metoksi sübstitüe ve amino sübstitüe bileşiklerin gösterdiği belirlenmiştir. Tamamen indirgenmiş bileşiklerin, piperidin halkası ve aromatik halka fonksiyonel gruplarını içeren bileşiklerin daha yüksek antimikrobiyal etkinliğe sahip oldukları bildirilmiştir (İskender Yılmaz, 2012). Piperidin türevlerinin antimikrobiyel aktiviteye sahip olduğu çalışmalardan görülmektedir.</w:t>
      </w:r>
    </w:p>
    <w:p w14:paraId="692B0A01" w14:textId="77777777" w:rsidR="007943A0" w:rsidRDefault="007943A0" w:rsidP="0030587D">
      <w:pPr>
        <w:keepNext/>
        <w:keepLines/>
        <w:spacing w:after="0" w:line="360" w:lineRule="auto"/>
        <w:ind w:firstLine="567"/>
        <w:jc w:val="both"/>
        <w:outlineLvl w:val="1"/>
        <w:rPr>
          <w:rFonts w:eastAsia="Calibri"/>
          <w:color w:val="auto"/>
          <w:szCs w:val="26"/>
          <w:lang w:eastAsia="en-US"/>
        </w:rPr>
      </w:pPr>
      <w:bookmarkStart w:id="57" w:name="_Toc64567838"/>
      <w:r w:rsidRPr="007943A0">
        <w:rPr>
          <w:rFonts w:eastAsia="Calibri"/>
          <w:color w:val="auto"/>
          <w:szCs w:val="26"/>
          <w:lang w:eastAsia="en-US"/>
        </w:rPr>
        <w:t>Piperidin bileşikleri ile ilgili bulunan çalışmaların sonuçları yapılan çalışmamız ile karşılaştırılarak tartışma kısmında da ayrıca verilmiştir.</w:t>
      </w:r>
      <w:bookmarkEnd w:id="57"/>
    </w:p>
    <w:p w14:paraId="031A3C6F" w14:textId="77777777" w:rsidR="009E3E83" w:rsidRPr="007943A0" w:rsidRDefault="009E3E83" w:rsidP="0030587D">
      <w:pPr>
        <w:keepNext/>
        <w:keepLines/>
        <w:spacing w:after="0" w:line="360" w:lineRule="auto"/>
        <w:ind w:firstLine="567"/>
        <w:jc w:val="both"/>
        <w:outlineLvl w:val="1"/>
        <w:rPr>
          <w:rFonts w:eastAsia="Calibri"/>
          <w:color w:val="auto"/>
          <w:szCs w:val="26"/>
          <w:lang w:eastAsia="en-US"/>
        </w:rPr>
      </w:pPr>
    </w:p>
    <w:p w14:paraId="332BAD5E" w14:textId="46E30326" w:rsidR="007943A0" w:rsidRDefault="007943A0" w:rsidP="009E3E83">
      <w:pPr>
        <w:pStyle w:val="Balk6"/>
        <w:spacing w:before="0" w:after="0" w:line="240" w:lineRule="auto"/>
        <w:rPr>
          <w:lang w:eastAsia="en-US"/>
        </w:rPr>
      </w:pPr>
      <w:bookmarkStart w:id="58" w:name="_Toc64567839"/>
      <w:r w:rsidRPr="007943A0">
        <w:rPr>
          <w:rFonts w:eastAsia="Calibri"/>
          <w:lang w:eastAsia="en-US"/>
        </w:rPr>
        <w:t>1.</w:t>
      </w:r>
      <w:r w:rsidR="00BA6DD8">
        <w:rPr>
          <w:rFonts w:eastAsia="Calibri"/>
          <w:lang w:eastAsia="en-US"/>
        </w:rPr>
        <w:t>1.</w:t>
      </w:r>
      <w:r w:rsidRPr="007943A0">
        <w:rPr>
          <w:rFonts w:eastAsia="Calibri"/>
          <w:lang w:eastAsia="en-US"/>
        </w:rPr>
        <w:t xml:space="preserve">7. </w:t>
      </w:r>
      <w:r w:rsidRPr="007943A0">
        <w:rPr>
          <w:lang w:eastAsia="en-US"/>
        </w:rPr>
        <w:t>Çalışmanın</w:t>
      </w:r>
      <w:r w:rsidRPr="007943A0">
        <w:rPr>
          <w:rFonts w:eastAsia="Calibri"/>
          <w:lang w:eastAsia="en-US"/>
        </w:rPr>
        <w:t xml:space="preserve"> </w:t>
      </w:r>
      <w:r w:rsidRPr="007943A0">
        <w:rPr>
          <w:lang w:eastAsia="en-US"/>
        </w:rPr>
        <w:t>Amacı</w:t>
      </w:r>
      <w:bookmarkEnd w:id="58"/>
    </w:p>
    <w:p w14:paraId="208D3330" w14:textId="77777777" w:rsidR="009E3E83" w:rsidRPr="009E3E83" w:rsidRDefault="009E3E83" w:rsidP="009E3E83">
      <w:pPr>
        <w:spacing w:after="0" w:line="360" w:lineRule="auto"/>
        <w:rPr>
          <w:lang w:eastAsia="en-US"/>
        </w:rPr>
      </w:pPr>
    </w:p>
    <w:p w14:paraId="2DA6C34B" w14:textId="37BB883B"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 xml:space="preserve">Alzheimer son zamanlarda çok yaygın olan bir demans hastalığıdır ve hastalığının kesin tedavisi yoktur. Günümüzde kullanılan tedavi yöntemleri hastalığın belirtilerini ortadan kaldırmaya yöneliktir. Bu amaca yönelik olarak Takrin ve Rivastigmin gibi kolin esteraz inhibitörleri genel olarak kullanılmaktadır fakat bunların yan etkileride oldukça fazladır. Piperidin yapısında bulunan donepezilde Alzheimer tedavisinde kullanılan klinik bir ilaçtır. Diğer ilaçlara göre daha seçici bir etkiye sahiptir ve merkezi sinir sistemindeki asetil kolin esterazlara yüksek oranda özgül olması ilacın önemli bir üstünlüğüdür. Diğer ilaçlarla karşılaştırıldığında donepezilin yan etkileri daha az görülmektedir ve bilişsel bozukluklarla beraber davranışsal belirtileride düzeltmektedir. Donepezil gibi birçok piperidin türevi farmakolojik olarak aktif bileşiklerin ve önemli ilaçların temel yapısını oluşturmaktadır. Azot atomu içeren heterosiklik bileşiklerin içerisinde piperidin yapıları ayrı bir öneme sahiptir. Birçok biyolojik ve medikal öneme sahip doğal ve doğal olmayan bileşiklerin yapısında piperidin iskeleti bulunur. İlaç endüstrisinde, lokal anestezikler, analjezikler, antimikrobiyal ilaçlar ve diğer farmasötik ürünlerin yapısında bulunurlar. </w:t>
      </w:r>
      <w:r w:rsidRPr="007943A0">
        <w:rPr>
          <w:rFonts w:eastAsia="Times New Roman"/>
          <w:color w:val="auto"/>
        </w:rPr>
        <w:lastRenderedPageBreak/>
        <w:t>Yapılan çalışma ile piperidin yapısında olan (1-metil-4-hidroksi-4-fenil p</w:t>
      </w:r>
      <w:r w:rsidR="00410490">
        <w:rPr>
          <w:rFonts w:eastAsia="Times New Roman"/>
          <w:color w:val="auto"/>
        </w:rPr>
        <w:t xml:space="preserve">iperidin-3-il)(fenil)metanon, </w:t>
      </w:r>
      <w:r w:rsidRPr="007943A0">
        <w:rPr>
          <w:rFonts w:eastAsia="Times New Roman"/>
          <w:color w:val="auto"/>
        </w:rPr>
        <w:t>(1-etil-4-hidroksi-4-fenil piperidin-3-il)(fenil)metanon maddelerinin</w:t>
      </w:r>
      <w:r w:rsidR="00410490">
        <w:rPr>
          <w:rFonts w:eastAsia="Times New Roman"/>
          <w:color w:val="auto"/>
        </w:rPr>
        <w:t xml:space="preserve"> ve donepezilin</w:t>
      </w:r>
      <w:r w:rsidRPr="007943A0">
        <w:rPr>
          <w:rFonts w:eastAsia="Times New Roman"/>
          <w:color w:val="auto"/>
        </w:rPr>
        <w:t xml:space="preserve"> AChE ve BChE enzimleri üzerinde kinetik çalışmaları yapılmış, IC</w:t>
      </w:r>
      <w:r w:rsidRPr="007943A0">
        <w:rPr>
          <w:rFonts w:eastAsia="Times New Roman"/>
          <w:color w:val="auto"/>
          <w:vertAlign w:val="subscript"/>
        </w:rPr>
        <w:t>50</w:t>
      </w:r>
      <w:r w:rsidRPr="007943A0">
        <w:rPr>
          <w:rFonts w:eastAsia="Times New Roman"/>
          <w:color w:val="auto"/>
        </w:rPr>
        <w:t>, ki değerleri ve inhibisyon türleri belirlenmiştir. Çalışmada ayrıca maddelerin 7 bakteri suşu üzerindeki antibakteriyel aktiviteleri incelenmiştir. Bu çalışmadaki hedeflerimiz;</w:t>
      </w:r>
    </w:p>
    <w:p w14:paraId="719EED68" w14:textId="67F4183E"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Kinetik çalışmalarla piperidin türevi bileşiklerin</w:t>
      </w:r>
      <w:r w:rsidR="00410490">
        <w:rPr>
          <w:rFonts w:eastAsia="Times New Roman"/>
          <w:color w:val="auto"/>
        </w:rPr>
        <w:t xml:space="preserve"> ve donepezilin</w:t>
      </w:r>
      <w:r w:rsidRPr="007943A0">
        <w:rPr>
          <w:rFonts w:eastAsia="Times New Roman"/>
          <w:color w:val="auto"/>
        </w:rPr>
        <w:t xml:space="preserve"> asetilkolinesteraz enzimi üzerindeki etkisinin belirlenmesi,</w:t>
      </w:r>
    </w:p>
    <w:p w14:paraId="7906B4D3" w14:textId="45B52B40"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Kinetik çalışmalarla piperidin türevi bileşiklerin</w:t>
      </w:r>
      <w:r w:rsidR="00F430C5">
        <w:rPr>
          <w:rFonts w:eastAsia="Times New Roman"/>
          <w:color w:val="auto"/>
        </w:rPr>
        <w:t xml:space="preserve"> </w:t>
      </w:r>
      <w:r w:rsidRPr="007943A0">
        <w:rPr>
          <w:rFonts w:eastAsia="Times New Roman"/>
          <w:color w:val="auto"/>
        </w:rPr>
        <w:t>bütirilkolinesteraz enzimi üzerindeki etkisinin belirlenmesi,</w:t>
      </w:r>
    </w:p>
    <w:p w14:paraId="11540136" w14:textId="5870EEB9"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Kinetik çalışmalar sonucu her bir madde için ayrı ayrı Michelis Menten grafikleri çizilerek IC</w:t>
      </w:r>
      <w:r w:rsidRPr="007943A0">
        <w:rPr>
          <w:rFonts w:eastAsia="Times New Roman"/>
          <w:color w:val="auto"/>
          <w:vertAlign w:val="subscript"/>
        </w:rPr>
        <w:t>50</w:t>
      </w:r>
      <w:r w:rsidRPr="007943A0">
        <w:rPr>
          <w:rFonts w:eastAsia="Times New Roman"/>
          <w:color w:val="auto"/>
        </w:rPr>
        <w:t xml:space="preserve"> (Enzim aktivitesini yarıya düş</w:t>
      </w:r>
      <w:r w:rsidR="00F430C5">
        <w:rPr>
          <w:rFonts w:eastAsia="Times New Roman"/>
          <w:color w:val="auto"/>
        </w:rPr>
        <w:t xml:space="preserve">üren inhibitör konsantrasyonu) </w:t>
      </w:r>
      <w:r w:rsidRPr="007943A0">
        <w:rPr>
          <w:rFonts w:eastAsia="Times New Roman"/>
          <w:color w:val="auto"/>
        </w:rPr>
        <w:t>değerlerinin hesaplanması,</w:t>
      </w:r>
    </w:p>
    <w:p w14:paraId="5EBF2026" w14:textId="2211EFF9"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 xml:space="preserve">Kinetik çalışmalar </w:t>
      </w:r>
      <w:r w:rsidR="00F430C5">
        <w:rPr>
          <w:rFonts w:eastAsia="Times New Roman"/>
          <w:color w:val="auto"/>
        </w:rPr>
        <w:t>sonucu her bir madde için Line</w:t>
      </w:r>
      <w:r w:rsidRPr="007943A0">
        <w:rPr>
          <w:rFonts w:eastAsia="Times New Roman"/>
          <w:color w:val="auto"/>
        </w:rPr>
        <w:t>weaver burk grafikleri çizilerek, ki değerlerinin hesaplanması ve inbisyon çeşitlerinin belirlenerek karşılaştırılması,</w:t>
      </w:r>
    </w:p>
    <w:p w14:paraId="7B4A829F" w14:textId="77777777" w:rsidR="0058398D"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Courier New" w:eastAsia="Times New Roman" w:hAnsi="Courier New" w:cs="Courier New"/>
          <w:color w:val="auto"/>
          <w:sz w:val="20"/>
          <w:szCs w:val="20"/>
        </w:rPr>
      </w:pPr>
      <w:r w:rsidRPr="007943A0">
        <w:rPr>
          <w:rFonts w:eastAsia="Times New Roman"/>
          <w:color w:val="auto"/>
        </w:rPr>
        <w:t>Piperidin türevi maddelerin farklı suşlar  (</w:t>
      </w:r>
      <w:r w:rsidRPr="009C3FE6">
        <w:rPr>
          <w:rFonts w:eastAsia="Times New Roman"/>
          <w:i/>
          <w:color w:val="auto"/>
        </w:rPr>
        <w:t>S.aureus</w:t>
      </w:r>
      <w:r w:rsidRPr="007943A0">
        <w:rPr>
          <w:rFonts w:eastAsia="Times New Roman"/>
          <w:color w:val="auto"/>
        </w:rPr>
        <w:t xml:space="preserve"> ATCC: 29213, </w:t>
      </w:r>
      <w:r w:rsidRPr="009C3FE6">
        <w:rPr>
          <w:rFonts w:eastAsia="Times New Roman"/>
          <w:i/>
          <w:color w:val="auto"/>
        </w:rPr>
        <w:t xml:space="preserve">Klebsiella pnemoniae </w:t>
      </w:r>
      <w:r w:rsidRPr="007943A0">
        <w:rPr>
          <w:rFonts w:eastAsia="Times New Roman"/>
          <w:color w:val="auto"/>
        </w:rPr>
        <w:t xml:space="preserve">BL 2003, </w:t>
      </w:r>
      <w:r w:rsidRPr="009C3FE6">
        <w:rPr>
          <w:rFonts w:eastAsia="Times New Roman"/>
          <w:i/>
          <w:color w:val="auto"/>
        </w:rPr>
        <w:t>E.coli</w:t>
      </w:r>
      <w:r w:rsidRPr="007943A0">
        <w:rPr>
          <w:rFonts w:eastAsia="Times New Roman"/>
          <w:color w:val="auto"/>
        </w:rPr>
        <w:t xml:space="preserve"> 35218, </w:t>
      </w:r>
      <w:r w:rsidRPr="009C3FE6">
        <w:rPr>
          <w:rFonts w:eastAsia="Times New Roman"/>
          <w:i/>
          <w:color w:val="auto"/>
        </w:rPr>
        <w:t>E.coli</w:t>
      </w:r>
      <w:r w:rsidRPr="007943A0">
        <w:rPr>
          <w:rFonts w:eastAsia="Times New Roman"/>
          <w:color w:val="auto"/>
        </w:rPr>
        <w:t xml:space="preserve"> 25922, </w:t>
      </w:r>
      <w:r w:rsidRPr="009C3FE6">
        <w:rPr>
          <w:rFonts w:eastAsia="Times New Roman"/>
          <w:i/>
          <w:color w:val="auto"/>
        </w:rPr>
        <w:t>E. Feacalis</w:t>
      </w:r>
      <w:r w:rsidRPr="007943A0">
        <w:rPr>
          <w:rFonts w:eastAsia="Times New Roman"/>
          <w:color w:val="auto"/>
        </w:rPr>
        <w:t xml:space="preserve"> ATCC 29212, </w:t>
      </w:r>
      <w:r w:rsidRPr="009C3FE6">
        <w:rPr>
          <w:rFonts w:eastAsia="Times New Roman"/>
          <w:i/>
          <w:color w:val="auto"/>
        </w:rPr>
        <w:t xml:space="preserve">P.aerugınosa </w:t>
      </w:r>
      <w:r w:rsidRPr="007943A0">
        <w:rPr>
          <w:rFonts w:eastAsia="Times New Roman"/>
          <w:color w:val="auto"/>
        </w:rPr>
        <w:t xml:space="preserve">27853, </w:t>
      </w:r>
      <w:r w:rsidRPr="009C3FE6">
        <w:rPr>
          <w:rFonts w:eastAsia="Times New Roman"/>
          <w:i/>
          <w:color w:val="auto"/>
        </w:rPr>
        <w:t>P. Putida</w:t>
      </w:r>
      <w:r w:rsidRPr="007943A0">
        <w:rPr>
          <w:rFonts w:eastAsia="Times New Roman"/>
          <w:color w:val="auto"/>
        </w:rPr>
        <w:t xml:space="preserve"> BC1617 gibi ) kullanılarak antibakteriyel aktivitelerinin belirlenmesidir.</w:t>
      </w:r>
      <w:r w:rsidRPr="007943A0">
        <w:rPr>
          <w:rFonts w:ascii="Courier New" w:eastAsia="Times New Roman" w:hAnsi="Courier New" w:cs="Courier New"/>
          <w:color w:val="auto"/>
          <w:sz w:val="20"/>
          <w:szCs w:val="20"/>
        </w:rPr>
        <w:t xml:space="preserve"> </w:t>
      </w:r>
    </w:p>
    <w:p w14:paraId="65414019" w14:textId="2EB45F6A"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Son konsantrosyanları 30mg/mL olacak şekilde hazırlanan etanol ve DMSO’da çözünmüş maddelerin 7 bakteri suşu üzerindeki antimikrobiyal aktiviteleri disk difüzyon yöntemi ile belirlenmiştir. Hazırlanan Hinton agarlı petrilere</w:t>
      </w:r>
      <w:r w:rsidR="004E5832">
        <w:rPr>
          <w:rFonts w:eastAsia="Times New Roman"/>
          <w:color w:val="auto"/>
        </w:rPr>
        <w:t xml:space="preserve"> yüzey yayma metodu ile 100 μL </w:t>
      </w:r>
      <w:r w:rsidRPr="007943A0">
        <w:rPr>
          <w:rFonts w:eastAsia="Times New Roman"/>
          <w:color w:val="auto"/>
        </w:rPr>
        <w:t>konsantrasyonda bakteri süspansüyonları inoküle edilmiştir. Pozitif kontrol olarak Ampisilin/Sulbaktam ve basitrasin kullanılmıştır.</w:t>
      </w:r>
    </w:p>
    <w:p w14:paraId="1344E74F" w14:textId="3065FF33"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Literatürde çalışmamız için sentezi yapılmış olan (1-metil-4-hidroksi-4-fenil piperid</w:t>
      </w:r>
      <w:r>
        <w:rPr>
          <w:rFonts w:eastAsia="Times New Roman"/>
          <w:color w:val="auto"/>
        </w:rPr>
        <w:t xml:space="preserve">in-3-il)(fenil)metanon </w:t>
      </w:r>
      <w:r w:rsidRPr="007943A0">
        <w:rPr>
          <w:rFonts w:eastAsia="Times New Roman"/>
          <w:color w:val="auto"/>
        </w:rPr>
        <w:t>ve (1-etil-4-h</w:t>
      </w:r>
      <w:r>
        <w:rPr>
          <w:rFonts w:eastAsia="Times New Roman"/>
          <w:color w:val="auto"/>
        </w:rPr>
        <w:t>idroksi-4-fenilpiperidin-3-il)(fenil)</w:t>
      </w:r>
      <w:r w:rsidRPr="007943A0">
        <w:rPr>
          <w:rFonts w:eastAsia="Times New Roman"/>
          <w:color w:val="auto"/>
        </w:rPr>
        <w:t>metanon bileşikleri için asetilkolinesteraz ve bütirilkolinesteraz enzimleri üzerinde inhibisyon etkilerinin incelenmesiyle ilgili kinetik çalışmalara rastlanamamıştır. Aynı şekilde bu bileşikler için disk difüzyon yöntemi kullanılarak yapılan antibakteriyel aktivitelerinin belirlenmesi amacıyla yapılan çalışmalara da rastlan</w:t>
      </w:r>
      <w:r w:rsidR="00410490">
        <w:rPr>
          <w:rFonts w:eastAsia="Times New Roman"/>
          <w:color w:val="auto"/>
        </w:rPr>
        <w:t>a</w:t>
      </w:r>
      <w:r w:rsidRPr="007943A0">
        <w:rPr>
          <w:rFonts w:eastAsia="Times New Roman"/>
          <w:color w:val="auto"/>
        </w:rPr>
        <w:t xml:space="preserve">mamıştır. </w:t>
      </w:r>
    </w:p>
    <w:p w14:paraId="556A8E93" w14:textId="77777777" w:rsidR="007943A0" w:rsidRPr="007943A0" w:rsidRDefault="007943A0" w:rsidP="003058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Çalışma sonuçları bütün olarak değerlendirildiğinde; antibakteriyel etkiye sahip olan, ve Alzheimer hastalığı üzerinde etkili olabilecek yeni piperidin türevi inhibitörler literatüre kazandırılmış olacaktır. Maddelerin antibakteriyel etkilerininde belirlenmesiyle elde edilecek sonuçlar farmokolojide hızla artan antibiyotik ve antibakteriyel direncin önlenmesine de yardımcı birer etken olacaktır.</w:t>
      </w:r>
    </w:p>
    <w:p w14:paraId="3B487E14" w14:textId="77777777" w:rsidR="007943A0" w:rsidRPr="007943A0" w:rsidRDefault="007943A0" w:rsidP="007943A0">
      <w:pPr>
        <w:widowControl w:val="0"/>
        <w:spacing w:before="98" w:after="0" w:line="359" w:lineRule="auto"/>
        <w:ind w:right="119"/>
        <w:rPr>
          <w:rFonts w:eastAsia="Times New Roman"/>
          <w:color w:val="auto"/>
          <w:spacing w:val="-1"/>
          <w:kern w:val="16"/>
          <w:lang w:val="en-US" w:eastAsia="en-US"/>
        </w:rPr>
        <w:sectPr w:rsidR="007943A0" w:rsidRPr="007943A0" w:rsidSect="00E0569F">
          <w:footerReference w:type="default" r:id="rId22"/>
          <w:footerReference w:type="first" r:id="rId23"/>
          <w:pgSz w:w="11910" w:h="16840"/>
          <w:pgMar w:top="1701" w:right="1418" w:bottom="1418" w:left="1701" w:header="0" w:footer="567" w:gutter="0"/>
          <w:pgNumType w:start="1"/>
          <w:cols w:space="708"/>
          <w:titlePg/>
          <w:docGrid w:linePitch="326"/>
        </w:sectPr>
      </w:pPr>
    </w:p>
    <w:p w14:paraId="55CEF97E" w14:textId="77777777" w:rsidR="003C0839" w:rsidRDefault="003C0839" w:rsidP="00EA7AE9">
      <w:pPr>
        <w:pStyle w:val="balk10"/>
        <w:spacing w:before="0" w:after="0"/>
        <w:rPr>
          <w:rFonts w:eastAsia="Times New Roman"/>
          <w:lang w:val="en-US" w:eastAsia="en-US"/>
        </w:rPr>
      </w:pPr>
      <w:bookmarkStart w:id="59" w:name="_Toc64567840"/>
    </w:p>
    <w:p w14:paraId="671989E6" w14:textId="77777777" w:rsidR="007943A0" w:rsidRDefault="007943A0" w:rsidP="004E5832">
      <w:pPr>
        <w:pStyle w:val="balk10"/>
        <w:spacing w:before="0" w:after="0" w:line="240" w:lineRule="auto"/>
        <w:rPr>
          <w:rFonts w:eastAsia="Times New Roman"/>
          <w:lang w:val="en-US" w:eastAsia="en-US"/>
        </w:rPr>
      </w:pPr>
      <w:r w:rsidRPr="007943A0">
        <w:rPr>
          <w:rFonts w:eastAsia="Times New Roman"/>
          <w:lang w:val="en-US" w:eastAsia="en-US"/>
        </w:rPr>
        <w:t>2. YAPILAN ÇALIŞMALAR</w:t>
      </w:r>
      <w:bookmarkEnd w:id="59"/>
    </w:p>
    <w:p w14:paraId="62ECBCEC" w14:textId="77777777" w:rsidR="004E5832" w:rsidRPr="007943A0" w:rsidRDefault="004E5832" w:rsidP="004E5832">
      <w:pPr>
        <w:pStyle w:val="balk10"/>
        <w:spacing w:before="0" w:after="0" w:line="240" w:lineRule="auto"/>
        <w:rPr>
          <w:rFonts w:eastAsia="Times New Roman"/>
          <w:lang w:val="en-US" w:eastAsia="en-US"/>
        </w:rPr>
      </w:pPr>
    </w:p>
    <w:p w14:paraId="59CC2514" w14:textId="77777777" w:rsidR="007943A0" w:rsidRDefault="007943A0" w:rsidP="004E5832">
      <w:pPr>
        <w:pStyle w:val="balk20"/>
        <w:spacing w:before="0" w:after="0" w:line="240" w:lineRule="auto"/>
        <w:rPr>
          <w:rFonts w:eastAsia="Times New Roman"/>
          <w:lang w:val="en-US" w:eastAsia="en-US"/>
        </w:rPr>
      </w:pPr>
      <w:bookmarkStart w:id="60" w:name="_Toc64567841"/>
      <w:r w:rsidRPr="007943A0">
        <w:rPr>
          <w:rFonts w:eastAsia="Times New Roman"/>
          <w:lang w:val="en-US" w:eastAsia="en-US"/>
        </w:rPr>
        <w:t>2.1. Numunelerin Temini</w:t>
      </w:r>
      <w:bookmarkEnd w:id="60"/>
    </w:p>
    <w:p w14:paraId="38A44169" w14:textId="77777777" w:rsidR="004E5832" w:rsidRPr="007943A0" w:rsidRDefault="004E5832" w:rsidP="004E5832">
      <w:pPr>
        <w:pStyle w:val="balk20"/>
        <w:spacing w:before="0" w:after="0"/>
        <w:rPr>
          <w:rFonts w:eastAsia="Times New Roman"/>
          <w:lang w:val="en-US" w:eastAsia="en-US"/>
        </w:rPr>
      </w:pPr>
    </w:p>
    <w:p w14:paraId="34F01E32" w14:textId="04F001F6" w:rsidR="008C080B" w:rsidRDefault="007943A0" w:rsidP="005B72C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Çalışmamızda kullanılan (1-metil-4-hidroksi-4-fenil piperidin-3-il) (fenil) metanon ve (1-etil-4-hidroksi-4-fenil piperidin-3-il) (fenil) metanon bileşikleri Doç Dr. Ahmet Afşin Kaya tarafından sentezlenerek tarafımıza veri</w:t>
      </w:r>
      <w:r w:rsidR="008C080B">
        <w:rPr>
          <w:rFonts w:eastAsia="Times New Roman"/>
          <w:color w:val="auto"/>
        </w:rPr>
        <w:t>lmiştir.</w:t>
      </w:r>
    </w:p>
    <w:p w14:paraId="0687E9F3" w14:textId="77777777" w:rsidR="005B72C0" w:rsidRDefault="005B72C0" w:rsidP="005B72C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p>
    <w:p w14:paraId="2726CFDE" w14:textId="77777777" w:rsidR="005B72C0" w:rsidRPr="007943A0" w:rsidRDefault="005B72C0" w:rsidP="005B72C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p>
    <w:p w14:paraId="4054FB51" w14:textId="77777777" w:rsidR="007943A0" w:rsidRDefault="007943A0" w:rsidP="008C080B">
      <w:pPr>
        <w:shd w:val="clear" w:color="auto" w:fill="FFFFFF"/>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Times New Roman"/>
          <w:color w:val="auto"/>
        </w:rPr>
      </w:pPr>
      <w:r w:rsidRPr="007943A0">
        <w:rPr>
          <w:rFonts w:eastAsia="Times New Roman"/>
          <w:noProof/>
          <w:color w:val="auto"/>
        </w:rPr>
        <w:drawing>
          <wp:inline distT="0" distB="0" distL="0" distR="0" wp14:anchorId="16894507" wp14:editId="0C285FD1">
            <wp:extent cx="4083050" cy="2051050"/>
            <wp:effectExtent l="0" t="0" r="0" b="6350"/>
            <wp:docPr id="55" name="Resim 55" descr="C:\Users\beyza\Desktop\Şekil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eyza\Desktop\Şekil 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84941" cy="2052000"/>
                    </a:xfrm>
                    <a:prstGeom prst="rect">
                      <a:avLst/>
                    </a:prstGeom>
                    <a:noFill/>
                    <a:ln>
                      <a:noFill/>
                    </a:ln>
                  </pic:spPr>
                </pic:pic>
              </a:graphicData>
            </a:graphic>
          </wp:inline>
        </w:drawing>
      </w:r>
    </w:p>
    <w:p w14:paraId="1429CB7E" w14:textId="77777777" w:rsidR="007F69F9" w:rsidRPr="007943A0" w:rsidRDefault="007F69F9" w:rsidP="008C080B">
      <w:pPr>
        <w:shd w:val="clear" w:color="auto" w:fill="FFFFFF"/>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Times New Roman"/>
          <w:color w:val="auto"/>
        </w:rPr>
      </w:pPr>
    </w:p>
    <w:p w14:paraId="2BB0162C" w14:textId="2D0696DE" w:rsidR="007943A0" w:rsidRDefault="003200CE" w:rsidP="00A0256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auto"/>
        </w:rPr>
      </w:pPr>
      <w:r>
        <w:rPr>
          <w:rFonts w:eastAsia="Times New Roman"/>
          <w:color w:val="auto"/>
        </w:rPr>
        <w:t xml:space="preserve">                   </w:t>
      </w:r>
      <w:r w:rsidR="007943A0" w:rsidRPr="007943A0">
        <w:rPr>
          <w:rFonts w:eastAsia="Times New Roman"/>
          <w:color w:val="auto"/>
        </w:rPr>
        <w:t>Şekil 2.1. (1-metil-4-hidroksi-4-feni</w:t>
      </w:r>
      <w:r w:rsidR="008C080B">
        <w:rPr>
          <w:rFonts w:eastAsia="Times New Roman"/>
          <w:color w:val="auto"/>
        </w:rPr>
        <w:t>l piperidin-3-il)(fenil)metanon</w:t>
      </w:r>
    </w:p>
    <w:p w14:paraId="680B2B13" w14:textId="77777777" w:rsidR="008C080B" w:rsidRDefault="008C080B" w:rsidP="008C08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auto"/>
        </w:rPr>
      </w:pPr>
    </w:p>
    <w:p w14:paraId="0F80715D" w14:textId="77777777" w:rsidR="008C080B" w:rsidRDefault="008C080B" w:rsidP="008C08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auto"/>
        </w:rPr>
      </w:pPr>
    </w:p>
    <w:p w14:paraId="4D89C11F" w14:textId="77777777" w:rsidR="008C080B" w:rsidRPr="007943A0" w:rsidRDefault="008C080B" w:rsidP="008C08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auto"/>
        </w:rPr>
      </w:pPr>
    </w:p>
    <w:p w14:paraId="1D4F6663" w14:textId="77777777" w:rsidR="007943A0" w:rsidRDefault="007943A0" w:rsidP="008C08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Times New Roman"/>
          <w:color w:val="auto"/>
        </w:rPr>
      </w:pPr>
      <w:r w:rsidRPr="007943A0">
        <w:rPr>
          <w:rFonts w:eastAsia="Times New Roman"/>
          <w:noProof/>
          <w:color w:val="auto"/>
        </w:rPr>
        <w:drawing>
          <wp:inline distT="0" distB="0" distL="0" distR="0" wp14:anchorId="7FCE4CC4" wp14:editId="4ED73FF6">
            <wp:extent cx="4138160" cy="2145176"/>
            <wp:effectExtent l="0" t="0" r="0" b="7620"/>
            <wp:docPr id="56" name="Resim 56" descr="C:\Users\beyza\Desktop\Şekil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eyza\Desktop\Şekil 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41446" cy="2146879"/>
                    </a:xfrm>
                    <a:prstGeom prst="rect">
                      <a:avLst/>
                    </a:prstGeom>
                    <a:noFill/>
                    <a:ln>
                      <a:noFill/>
                    </a:ln>
                  </pic:spPr>
                </pic:pic>
              </a:graphicData>
            </a:graphic>
          </wp:inline>
        </w:drawing>
      </w:r>
    </w:p>
    <w:p w14:paraId="3515DD8C" w14:textId="77777777" w:rsidR="007F69F9" w:rsidRPr="007943A0" w:rsidRDefault="007F69F9" w:rsidP="008C08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Times New Roman"/>
          <w:color w:val="auto"/>
        </w:rPr>
      </w:pPr>
    </w:p>
    <w:p w14:paraId="45870251" w14:textId="1AF179E2" w:rsidR="007943A0" w:rsidRDefault="003200CE" w:rsidP="008C080B">
      <w:pPr>
        <w:shd w:val="clear" w:color="auto" w:fill="FFFFFF"/>
        <w:tabs>
          <w:tab w:val="left" w:pos="91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auto"/>
        </w:rPr>
      </w:pPr>
      <w:r>
        <w:rPr>
          <w:rFonts w:eastAsia="Times New Roman"/>
          <w:color w:val="auto"/>
        </w:rPr>
        <w:t xml:space="preserve">                   </w:t>
      </w:r>
      <w:r w:rsidR="007943A0" w:rsidRPr="007943A0">
        <w:rPr>
          <w:rFonts w:eastAsia="Times New Roman"/>
          <w:color w:val="auto"/>
        </w:rPr>
        <w:t>Şekil 2.2. (1-etil-4-hidroksi-4-feni</w:t>
      </w:r>
      <w:r w:rsidR="008C080B">
        <w:rPr>
          <w:rFonts w:eastAsia="Times New Roman"/>
          <w:color w:val="auto"/>
        </w:rPr>
        <w:t>l piperidin-3-il)(fenil)metanon</w:t>
      </w:r>
    </w:p>
    <w:p w14:paraId="08E74B9B" w14:textId="77777777" w:rsidR="008C080B" w:rsidRDefault="008C080B" w:rsidP="008C080B">
      <w:pPr>
        <w:shd w:val="clear" w:color="auto" w:fill="FFFFFF"/>
        <w:tabs>
          <w:tab w:val="left" w:pos="91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auto"/>
        </w:rPr>
      </w:pPr>
    </w:p>
    <w:p w14:paraId="2C4C1F13" w14:textId="77777777" w:rsidR="008C080B" w:rsidRPr="007943A0" w:rsidRDefault="008C080B" w:rsidP="008C080B">
      <w:pPr>
        <w:shd w:val="clear" w:color="auto" w:fill="FFFFFF"/>
        <w:tabs>
          <w:tab w:val="left" w:pos="91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auto"/>
        </w:rPr>
      </w:pPr>
    </w:p>
    <w:p w14:paraId="35B26B26" w14:textId="0C19D59D" w:rsidR="004E5832" w:rsidRDefault="007943A0" w:rsidP="004E5832">
      <w:pPr>
        <w:pStyle w:val="balk20"/>
        <w:spacing w:before="0" w:after="0" w:line="240" w:lineRule="auto"/>
        <w:rPr>
          <w:rFonts w:eastAsia="Times New Roman"/>
          <w:lang w:eastAsia="en-US"/>
        </w:rPr>
      </w:pPr>
      <w:bookmarkStart w:id="61" w:name="_Toc64567842"/>
      <w:r w:rsidRPr="007943A0">
        <w:rPr>
          <w:rFonts w:eastAsia="Times New Roman"/>
          <w:lang w:eastAsia="en-US"/>
        </w:rPr>
        <w:lastRenderedPageBreak/>
        <w:t>2.2. Test Bakterilerinin Temini</w:t>
      </w:r>
      <w:bookmarkEnd w:id="61"/>
    </w:p>
    <w:p w14:paraId="03D5883B" w14:textId="77777777" w:rsidR="004E5832" w:rsidRPr="007943A0" w:rsidRDefault="004E5832" w:rsidP="004E5832">
      <w:pPr>
        <w:pStyle w:val="balk20"/>
        <w:spacing w:before="0" w:after="0"/>
        <w:rPr>
          <w:rFonts w:eastAsia="Times New Roman"/>
          <w:lang w:eastAsia="en-US"/>
        </w:rPr>
      </w:pPr>
    </w:p>
    <w:p w14:paraId="5DB64C0D" w14:textId="00A32624" w:rsidR="002A683A" w:rsidRDefault="007943A0" w:rsidP="002A683A">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Çalışmamızda 7 standart mikroorganizma suşu kullanılmıştır. Standart suşlar OXOİD ve Atatürk Üniversitesi kültür koleksiyonundan temin edilmiştir. Kullanılan bakteriler</w:t>
      </w:r>
      <w:r w:rsidR="00160C82">
        <w:rPr>
          <w:rFonts w:eastAsia="Calibri"/>
          <w:color w:val="auto"/>
          <w:lang w:val="en-US" w:eastAsia="en-US"/>
        </w:rPr>
        <w:t xml:space="preserve"> Tablo 2.1’de gösterilmektedir. </w:t>
      </w:r>
      <w:r w:rsidRPr="007943A0">
        <w:rPr>
          <w:rFonts w:eastAsia="Calibri"/>
          <w:color w:val="auto"/>
          <w:lang w:val="en-US" w:eastAsia="en-US"/>
        </w:rPr>
        <w:t>Bakterilerin hassasiyetini belirleyebilmek ve kullanılan yöntemin kontrolü için Amphisilin/sulbactam ve Basitrasin standart antib</w:t>
      </w:r>
      <w:r w:rsidR="004E5832">
        <w:rPr>
          <w:rFonts w:eastAsia="Calibri"/>
          <w:color w:val="auto"/>
          <w:lang w:val="en-US" w:eastAsia="en-US"/>
        </w:rPr>
        <w:t>iyotik diskleri kullanılmıştır</w:t>
      </w:r>
      <w:r w:rsidR="009D31CC">
        <w:rPr>
          <w:rFonts w:eastAsia="Calibri"/>
          <w:color w:val="auto"/>
          <w:lang w:val="en-US" w:eastAsia="en-US"/>
        </w:rPr>
        <w:t>.</w:t>
      </w:r>
    </w:p>
    <w:p w14:paraId="253A20E5" w14:textId="77777777" w:rsidR="002A683A" w:rsidRDefault="002A683A" w:rsidP="002A683A">
      <w:pPr>
        <w:widowControl w:val="0"/>
        <w:spacing w:after="0" w:line="240" w:lineRule="auto"/>
        <w:ind w:firstLine="567"/>
        <w:rPr>
          <w:rFonts w:eastAsia="Calibri"/>
          <w:color w:val="auto"/>
          <w:lang w:val="en-US" w:eastAsia="en-US"/>
        </w:rPr>
      </w:pPr>
      <w:r>
        <w:rPr>
          <w:rFonts w:eastAsia="Calibri"/>
          <w:color w:val="auto"/>
          <w:lang w:val="en-US" w:eastAsia="en-US"/>
        </w:rPr>
        <w:t xml:space="preserve">                          </w:t>
      </w:r>
    </w:p>
    <w:p w14:paraId="3294C655" w14:textId="420CC710" w:rsidR="002A683A" w:rsidRDefault="002A683A" w:rsidP="002A683A">
      <w:pPr>
        <w:widowControl w:val="0"/>
        <w:spacing w:after="0" w:line="240" w:lineRule="auto"/>
        <w:ind w:firstLine="567"/>
        <w:rPr>
          <w:rFonts w:eastAsia="Calibri"/>
          <w:color w:val="auto"/>
          <w:lang w:val="en-US" w:eastAsia="en-US"/>
        </w:rPr>
      </w:pPr>
      <w:r>
        <w:rPr>
          <w:rFonts w:eastAsia="Calibri"/>
          <w:color w:val="auto"/>
          <w:lang w:val="en-US" w:eastAsia="en-US"/>
        </w:rPr>
        <w:t xml:space="preserve">    </w:t>
      </w:r>
    </w:p>
    <w:p w14:paraId="07BF5A68" w14:textId="22E10918" w:rsidR="007943A0" w:rsidRDefault="002A683A" w:rsidP="007F69F9">
      <w:pPr>
        <w:widowControl w:val="0"/>
        <w:spacing w:after="0" w:line="240" w:lineRule="auto"/>
        <w:ind w:firstLine="567"/>
        <w:rPr>
          <w:rFonts w:eastAsia="Calibri"/>
          <w:color w:val="auto"/>
          <w:lang w:val="en-US" w:eastAsia="en-US"/>
        </w:rPr>
      </w:pPr>
      <w:r>
        <w:rPr>
          <w:rFonts w:eastAsia="Calibri"/>
          <w:color w:val="auto"/>
          <w:lang w:val="en-US" w:eastAsia="en-US"/>
        </w:rPr>
        <w:t xml:space="preserve">                             </w:t>
      </w:r>
      <w:r w:rsidR="007943A0" w:rsidRPr="007943A0">
        <w:rPr>
          <w:rFonts w:eastAsia="Calibri"/>
          <w:color w:val="auto"/>
          <w:lang w:val="en-US" w:eastAsia="en-US"/>
        </w:rPr>
        <w:t>Tablo 2.1. Kullanılan bakteriler ve kodları</w:t>
      </w:r>
    </w:p>
    <w:p w14:paraId="56640872" w14:textId="77777777" w:rsidR="007F69F9" w:rsidRPr="007943A0" w:rsidRDefault="007F69F9" w:rsidP="007F69F9">
      <w:pPr>
        <w:widowControl w:val="0"/>
        <w:spacing w:after="0" w:line="240" w:lineRule="auto"/>
        <w:ind w:firstLine="567"/>
        <w:rPr>
          <w:rFonts w:eastAsia="Calibri"/>
          <w:color w:val="auto"/>
          <w:lang w:val="en-US" w:eastAsia="en-US"/>
        </w:rPr>
      </w:pPr>
    </w:p>
    <w:tbl>
      <w:tblPr>
        <w:tblW w:w="4039" w:type="dxa"/>
        <w:jc w:val="center"/>
        <w:tblLook w:val="04A0" w:firstRow="1" w:lastRow="0" w:firstColumn="1" w:lastColumn="0" w:noHBand="0" w:noVBand="1"/>
      </w:tblPr>
      <w:tblGrid>
        <w:gridCol w:w="2410"/>
        <w:gridCol w:w="1629"/>
      </w:tblGrid>
      <w:tr w:rsidR="007943A0" w:rsidRPr="007943A0" w14:paraId="385FA29B" w14:textId="77777777" w:rsidTr="002A683A">
        <w:trPr>
          <w:jc w:val="center"/>
        </w:trPr>
        <w:tc>
          <w:tcPr>
            <w:tcW w:w="2410" w:type="dxa"/>
            <w:tcBorders>
              <w:top w:val="thinThickSmallGap" w:sz="12" w:space="0" w:color="auto"/>
              <w:left w:val="thinThickSmallGap" w:sz="12" w:space="0" w:color="auto"/>
              <w:bottom w:val="single" w:sz="8" w:space="0" w:color="auto"/>
              <w:right w:val="single" w:sz="8" w:space="0" w:color="auto"/>
            </w:tcBorders>
            <w:vAlign w:val="center"/>
          </w:tcPr>
          <w:p w14:paraId="52FC0599" w14:textId="77777777" w:rsidR="007943A0" w:rsidRPr="007943A0" w:rsidRDefault="007943A0" w:rsidP="00A01DB1">
            <w:pPr>
              <w:widowControl w:val="0"/>
              <w:spacing w:after="0" w:line="240" w:lineRule="auto"/>
              <w:rPr>
                <w:rFonts w:eastAsia="Calibri"/>
                <w:b/>
                <w:color w:val="auto"/>
                <w:lang w:val="en-US" w:eastAsia="en-US"/>
              </w:rPr>
            </w:pPr>
            <w:r w:rsidRPr="007943A0">
              <w:rPr>
                <w:rFonts w:eastAsia="Calibri"/>
                <w:b/>
                <w:color w:val="auto"/>
                <w:lang w:val="en-US" w:eastAsia="en-US"/>
              </w:rPr>
              <w:t>Bakteri</w:t>
            </w:r>
          </w:p>
        </w:tc>
        <w:tc>
          <w:tcPr>
            <w:tcW w:w="1629" w:type="dxa"/>
            <w:tcBorders>
              <w:top w:val="thinThickSmallGap" w:sz="12" w:space="0" w:color="auto"/>
              <w:left w:val="single" w:sz="8" w:space="0" w:color="auto"/>
              <w:bottom w:val="single" w:sz="8" w:space="0" w:color="auto"/>
              <w:right w:val="thinThickSmallGap" w:sz="12" w:space="0" w:color="auto"/>
            </w:tcBorders>
            <w:vAlign w:val="center"/>
          </w:tcPr>
          <w:p w14:paraId="296F92CE" w14:textId="77777777" w:rsidR="007943A0" w:rsidRPr="007943A0" w:rsidRDefault="007943A0" w:rsidP="00A01DB1">
            <w:pPr>
              <w:widowControl w:val="0"/>
              <w:spacing w:after="0" w:line="240" w:lineRule="auto"/>
              <w:rPr>
                <w:rFonts w:eastAsia="Calibri"/>
                <w:b/>
                <w:color w:val="auto"/>
                <w:lang w:val="en-US" w:eastAsia="en-US"/>
              </w:rPr>
            </w:pPr>
            <w:r w:rsidRPr="007943A0">
              <w:rPr>
                <w:rFonts w:eastAsia="Calibri"/>
                <w:b/>
                <w:color w:val="auto"/>
                <w:lang w:val="en-US" w:eastAsia="en-US"/>
              </w:rPr>
              <w:t>Bakteri Kodu</w:t>
            </w:r>
          </w:p>
        </w:tc>
      </w:tr>
      <w:tr w:rsidR="007943A0" w:rsidRPr="007943A0" w14:paraId="4D241A32" w14:textId="77777777" w:rsidTr="002A683A">
        <w:trPr>
          <w:jc w:val="center"/>
        </w:trPr>
        <w:tc>
          <w:tcPr>
            <w:tcW w:w="2410" w:type="dxa"/>
            <w:tcBorders>
              <w:top w:val="single" w:sz="8" w:space="0" w:color="auto"/>
              <w:left w:val="thinThickSmallGap" w:sz="12" w:space="0" w:color="auto"/>
              <w:bottom w:val="single" w:sz="8" w:space="0" w:color="auto"/>
              <w:right w:val="single" w:sz="8" w:space="0" w:color="auto"/>
            </w:tcBorders>
            <w:vAlign w:val="center"/>
          </w:tcPr>
          <w:p w14:paraId="47EDEFDF" w14:textId="1CA7D82B" w:rsidR="007943A0" w:rsidRPr="007943A0" w:rsidRDefault="007943A0" w:rsidP="00A01DB1">
            <w:pPr>
              <w:widowControl w:val="0"/>
              <w:spacing w:after="0" w:line="240" w:lineRule="auto"/>
              <w:rPr>
                <w:rFonts w:eastAsia="Calibri"/>
                <w:b/>
                <w:color w:val="auto"/>
                <w:lang w:val="en-US" w:eastAsia="en-US"/>
              </w:rPr>
            </w:pPr>
            <w:r w:rsidRPr="007943A0">
              <w:rPr>
                <w:rFonts w:eastAsia="Calibri"/>
                <w:i/>
                <w:color w:val="000000"/>
                <w:lang w:val="en-US" w:eastAsia="en-US"/>
              </w:rPr>
              <w:t>S.aureus</w:t>
            </w:r>
          </w:p>
        </w:tc>
        <w:tc>
          <w:tcPr>
            <w:tcW w:w="1629" w:type="dxa"/>
            <w:tcBorders>
              <w:top w:val="single" w:sz="8" w:space="0" w:color="auto"/>
              <w:left w:val="single" w:sz="8" w:space="0" w:color="auto"/>
              <w:bottom w:val="single" w:sz="8" w:space="0" w:color="auto"/>
              <w:right w:val="thinThickSmallGap" w:sz="12" w:space="0" w:color="auto"/>
            </w:tcBorders>
            <w:vAlign w:val="center"/>
          </w:tcPr>
          <w:p w14:paraId="0E181681" w14:textId="77777777" w:rsidR="007943A0" w:rsidRPr="007943A0" w:rsidRDefault="007943A0" w:rsidP="00A01DB1">
            <w:pPr>
              <w:widowControl w:val="0"/>
              <w:spacing w:after="0" w:line="240" w:lineRule="auto"/>
              <w:rPr>
                <w:rFonts w:eastAsia="Calibri"/>
                <w:b/>
                <w:color w:val="auto"/>
                <w:lang w:val="en-US" w:eastAsia="en-US"/>
              </w:rPr>
            </w:pPr>
            <w:r w:rsidRPr="007943A0">
              <w:rPr>
                <w:rFonts w:eastAsia="Calibri"/>
                <w:color w:val="000000"/>
                <w:lang w:val="en-US" w:eastAsia="en-US"/>
              </w:rPr>
              <w:t>ATCC 29213</w:t>
            </w:r>
          </w:p>
        </w:tc>
      </w:tr>
      <w:tr w:rsidR="007943A0" w:rsidRPr="007943A0" w14:paraId="3489592F" w14:textId="77777777" w:rsidTr="002A683A">
        <w:trPr>
          <w:jc w:val="center"/>
        </w:trPr>
        <w:tc>
          <w:tcPr>
            <w:tcW w:w="2410" w:type="dxa"/>
            <w:tcBorders>
              <w:top w:val="single" w:sz="8" w:space="0" w:color="auto"/>
              <w:left w:val="thinThickSmallGap" w:sz="12" w:space="0" w:color="auto"/>
              <w:bottom w:val="single" w:sz="8" w:space="0" w:color="auto"/>
              <w:right w:val="single" w:sz="8" w:space="0" w:color="auto"/>
            </w:tcBorders>
            <w:vAlign w:val="center"/>
          </w:tcPr>
          <w:p w14:paraId="7D0DC701" w14:textId="6E1CA603" w:rsidR="007943A0" w:rsidRPr="007943A0" w:rsidRDefault="007943A0" w:rsidP="00A01DB1">
            <w:pPr>
              <w:widowControl w:val="0"/>
              <w:spacing w:after="0" w:line="240" w:lineRule="auto"/>
              <w:rPr>
                <w:rFonts w:eastAsia="Calibri"/>
                <w:b/>
                <w:color w:val="auto"/>
                <w:lang w:val="en-US" w:eastAsia="en-US"/>
              </w:rPr>
            </w:pPr>
            <w:r w:rsidRPr="007943A0">
              <w:rPr>
                <w:rFonts w:eastAsia="Calibri"/>
                <w:i/>
                <w:color w:val="000000"/>
                <w:lang w:val="en-US" w:eastAsia="en-US"/>
              </w:rPr>
              <w:t>E.faecalis</w:t>
            </w:r>
          </w:p>
        </w:tc>
        <w:tc>
          <w:tcPr>
            <w:tcW w:w="1629" w:type="dxa"/>
            <w:tcBorders>
              <w:top w:val="single" w:sz="8" w:space="0" w:color="auto"/>
              <w:left w:val="single" w:sz="8" w:space="0" w:color="auto"/>
              <w:bottom w:val="single" w:sz="8" w:space="0" w:color="auto"/>
              <w:right w:val="thinThickSmallGap" w:sz="12" w:space="0" w:color="auto"/>
            </w:tcBorders>
            <w:vAlign w:val="center"/>
          </w:tcPr>
          <w:p w14:paraId="14985F36" w14:textId="77777777" w:rsidR="007943A0" w:rsidRPr="007943A0" w:rsidRDefault="007943A0" w:rsidP="00A01DB1">
            <w:pPr>
              <w:widowControl w:val="0"/>
              <w:spacing w:after="0" w:line="240" w:lineRule="auto"/>
              <w:rPr>
                <w:rFonts w:eastAsia="Calibri"/>
                <w:b/>
                <w:color w:val="auto"/>
                <w:lang w:val="en-US" w:eastAsia="en-US"/>
              </w:rPr>
            </w:pPr>
            <w:r w:rsidRPr="007943A0">
              <w:rPr>
                <w:rFonts w:eastAsia="Calibri"/>
                <w:color w:val="000000"/>
                <w:lang w:val="en-US" w:eastAsia="en-US"/>
              </w:rPr>
              <w:t>29212 2STIK</w:t>
            </w:r>
          </w:p>
        </w:tc>
      </w:tr>
      <w:tr w:rsidR="007943A0" w:rsidRPr="007943A0" w14:paraId="07C4E015" w14:textId="77777777" w:rsidTr="002A683A">
        <w:trPr>
          <w:jc w:val="center"/>
        </w:trPr>
        <w:tc>
          <w:tcPr>
            <w:tcW w:w="2410" w:type="dxa"/>
            <w:tcBorders>
              <w:top w:val="single" w:sz="8" w:space="0" w:color="auto"/>
              <w:left w:val="thinThickSmallGap" w:sz="12" w:space="0" w:color="auto"/>
              <w:bottom w:val="single" w:sz="8" w:space="0" w:color="auto"/>
              <w:right w:val="single" w:sz="8" w:space="0" w:color="auto"/>
            </w:tcBorders>
            <w:vAlign w:val="center"/>
          </w:tcPr>
          <w:p w14:paraId="142F2D41" w14:textId="5C19AA5D" w:rsidR="007943A0" w:rsidRPr="007943A0" w:rsidRDefault="007943A0" w:rsidP="00A01DB1">
            <w:pPr>
              <w:widowControl w:val="0"/>
              <w:autoSpaceDE w:val="0"/>
              <w:autoSpaceDN w:val="0"/>
              <w:adjustRightInd w:val="0"/>
              <w:spacing w:after="0" w:line="240" w:lineRule="auto"/>
              <w:rPr>
                <w:rFonts w:eastAsia="Calibri"/>
                <w:color w:val="000000"/>
                <w:lang w:val="en-US" w:eastAsia="en-US"/>
              </w:rPr>
            </w:pPr>
            <w:r w:rsidRPr="007943A0">
              <w:rPr>
                <w:rFonts w:eastAsia="Calibri"/>
                <w:i/>
                <w:color w:val="000000"/>
                <w:lang w:val="en-US" w:eastAsia="en-US"/>
              </w:rPr>
              <w:t>E.coli</w:t>
            </w:r>
          </w:p>
        </w:tc>
        <w:tc>
          <w:tcPr>
            <w:tcW w:w="1629" w:type="dxa"/>
            <w:tcBorders>
              <w:top w:val="single" w:sz="8" w:space="0" w:color="auto"/>
              <w:left w:val="single" w:sz="8" w:space="0" w:color="auto"/>
              <w:bottom w:val="single" w:sz="8" w:space="0" w:color="auto"/>
              <w:right w:val="thinThickSmallGap" w:sz="12" w:space="0" w:color="auto"/>
            </w:tcBorders>
            <w:vAlign w:val="center"/>
          </w:tcPr>
          <w:p w14:paraId="70E7CD88" w14:textId="77777777" w:rsidR="007943A0" w:rsidRPr="007943A0" w:rsidRDefault="007943A0" w:rsidP="00A01DB1">
            <w:pPr>
              <w:widowControl w:val="0"/>
              <w:spacing w:after="0" w:line="240" w:lineRule="auto"/>
              <w:rPr>
                <w:rFonts w:eastAsia="Calibri"/>
                <w:b/>
                <w:color w:val="auto"/>
                <w:lang w:val="en-US" w:eastAsia="en-US"/>
              </w:rPr>
            </w:pPr>
            <w:r w:rsidRPr="007943A0">
              <w:rPr>
                <w:rFonts w:eastAsia="Calibri"/>
                <w:color w:val="000000"/>
                <w:lang w:val="en-US" w:eastAsia="en-US"/>
              </w:rPr>
              <w:t>25922</w:t>
            </w:r>
          </w:p>
        </w:tc>
      </w:tr>
      <w:tr w:rsidR="007943A0" w:rsidRPr="007943A0" w14:paraId="37263F73" w14:textId="77777777" w:rsidTr="002A683A">
        <w:trPr>
          <w:jc w:val="center"/>
        </w:trPr>
        <w:tc>
          <w:tcPr>
            <w:tcW w:w="2410" w:type="dxa"/>
            <w:tcBorders>
              <w:top w:val="single" w:sz="8" w:space="0" w:color="auto"/>
              <w:left w:val="thinThickSmallGap" w:sz="12" w:space="0" w:color="auto"/>
              <w:bottom w:val="single" w:sz="8" w:space="0" w:color="auto"/>
              <w:right w:val="single" w:sz="8" w:space="0" w:color="auto"/>
            </w:tcBorders>
            <w:vAlign w:val="center"/>
          </w:tcPr>
          <w:p w14:paraId="26D53AE8" w14:textId="77777777" w:rsidR="007943A0" w:rsidRPr="007943A0" w:rsidRDefault="007943A0" w:rsidP="00A01DB1">
            <w:pPr>
              <w:widowControl w:val="0"/>
              <w:spacing w:after="0" w:line="240" w:lineRule="auto"/>
              <w:rPr>
                <w:rFonts w:eastAsia="Calibri"/>
                <w:b/>
                <w:color w:val="auto"/>
                <w:lang w:val="en-US" w:eastAsia="en-US"/>
              </w:rPr>
            </w:pPr>
            <w:r w:rsidRPr="007943A0">
              <w:rPr>
                <w:rFonts w:eastAsia="Calibri"/>
                <w:i/>
                <w:color w:val="000000"/>
                <w:lang w:val="en-US" w:eastAsia="en-US"/>
              </w:rPr>
              <w:t>P.aerugınosa</w:t>
            </w:r>
          </w:p>
        </w:tc>
        <w:tc>
          <w:tcPr>
            <w:tcW w:w="1629" w:type="dxa"/>
            <w:tcBorders>
              <w:top w:val="single" w:sz="8" w:space="0" w:color="auto"/>
              <w:left w:val="single" w:sz="8" w:space="0" w:color="auto"/>
              <w:bottom w:val="single" w:sz="8" w:space="0" w:color="auto"/>
              <w:right w:val="thinThickSmallGap" w:sz="12" w:space="0" w:color="auto"/>
            </w:tcBorders>
            <w:vAlign w:val="center"/>
          </w:tcPr>
          <w:p w14:paraId="5D418F60" w14:textId="77777777" w:rsidR="007943A0" w:rsidRPr="007943A0" w:rsidRDefault="007943A0" w:rsidP="00A01DB1">
            <w:pPr>
              <w:widowControl w:val="0"/>
              <w:spacing w:after="0" w:line="240" w:lineRule="auto"/>
              <w:rPr>
                <w:rFonts w:eastAsia="Calibri"/>
                <w:b/>
                <w:color w:val="auto"/>
                <w:lang w:val="en-US" w:eastAsia="en-US"/>
              </w:rPr>
            </w:pPr>
            <w:r w:rsidRPr="007943A0">
              <w:rPr>
                <w:rFonts w:eastAsia="Calibri"/>
                <w:color w:val="000000"/>
                <w:lang w:val="en-US" w:eastAsia="en-US"/>
              </w:rPr>
              <w:t>27853</w:t>
            </w:r>
          </w:p>
        </w:tc>
      </w:tr>
      <w:tr w:rsidR="007943A0" w:rsidRPr="007943A0" w14:paraId="5BA1ECC1" w14:textId="77777777" w:rsidTr="002A683A">
        <w:trPr>
          <w:jc w:val="center"/>
        </w:trPr>
        <w:tc>
          <w:tcPr>
            <w:tcW w:w="2410" w:type="dxa"/>
            <w:tcBorders>
              <w:top w:val="single" w:sz="8" w:space="0" w:color="auto"/>
              <w:left w:val="thinThickSmallGap" w:sz="12" w:space="0" w:color="auto"/>
              <w:bottom w:val="single" w:sz="8" w:space="0" w:color="auto"/>
              <w:right w:val="single" w:sz="8" w:space="0" w:color="auto"/>
            </w:tcBorders>
            <w:vAlign w:val="center"/>
          </w:tcPr>
          <w:p w14:paraId="515CF5FE" w14:textId="5FA99391" w:rsidR="007943A0" w:rsidRPr="007943A0" w:rsidRDefault="007943A0" w:rsidP="00A01DB1">
            <w:pPr>
              <w:widowControl w:val="0"/>
              <w:spacing w:after="0" w:line="240" w:lineRule="auto"/>
              <w:rPr>
                <w:rFonts w:eastAsia="Calibri"/>
                <w:b/>
                <w:color w:val="auto"/>
                <w:lang w:val="en-US" w:eastAsia="en-US"/>
              </w:rPr>
            </w:pPr>
            <w:r w:rsidRPr="007943A0">
              <w:rPr>
                <w:rFonts w:eastAsia="Calibri"/>
                <w:i/>
                <w:color w:val="000000"/>
                <w:lang w:val="en-US" w:eastAsia="en-US"/>
              </w:rPr>
              <w:t>E.coli</w:t>
            </w:r>
          </w:p>
        </w:tc>
        <w:tc>
          <w:tcPr>
            <w:tcW w:w="1629" w:type="dxa"/>
            <w:tcBorders>
              <w:top w:val="single" w:sz="8" w:space="0" w:color="auto"/>
              <w:left w:val="single" w:sz="8" w:space="0" w:color="auto"/>
              <w:bottom w:val="single" w:sz="8" w:space="0" w:color="auto"/>
              <w:right w:val="thinThickSmallGap" w:sz="12" w:space="0" w:color="auto"/>
            </w:tcBorders>
            <w:vAlign w:val="center"/>
          </w:tcPr>
          <w:p w14:paraId="7655FB98" w14:textId="77777777" w:rsidR="007943A0" w:rsidRPr="007943A0" w:rsidRDefault="007943A0" w:rsidP="00A01DB1">
            <w:pPr>
              <w:widowControl w:val="0"/>
              <w:spacing w:after="0" w:line="240" w:lineRule="auto"/>
              <w:rPr>
                <w:rFonts w:eastAsia="Calibri"/>
                <w:b/>
                <w:color w:val="auto"/>
                <w:lang w:val="en-US" w:eastAsia="en-US"/>
              </w:rPr>
            </w:pPr>
            <w:r w:rsidRPr="007943A0">
              <w:rPr>
                <w:rFonts w:eastAsia="Calibri"/>
                <w:color w:val="000000"/>
                <w:lang w:val="en-US" w:eastAsia="en-US"/>
              </w:rPr>
              <w:t>35218</w:t>
            </w:r>
          </w:p>
        </w:tc>
      </w:tr>
      <w:tr w:rsidR="007943A0" w:rsidRPr="007943A0" w14:paraId="06F7D57D" w14:textId="77777777" w:rsidTr="002A683A">
        <w:trPr>
          <w:jc w:val="center"/>
        </w:trPr>
        <w:tc>
          <w:tcPr>
            <w:tcW w:w="2410" w:type="dxa"/>
            <w:tcBorders>
              <w:top w:val="single" w:sz="8" w:space="0" w:color="auto"/>
              <w:left w:val="thinThickSmallGap" w:sz="12" w:space="0" w:color="auto"/>
              <w:bottom w:val="single" w:sz="8" w:space="0" w:color="auto"/>
              <w:right w:val="single" w:sz="8" w:space="0" w:color="auto"/>
            </w:tcBorders>
            <w:vAlign w:val="center"/>
          </w:tcPr>
          <w:p w14:paraId="6E048FBD" w14:textId="078EFD18" w:rsidR="007943A0" w:rsidRPr="007943A0" w:rsidRDefault="007943A0" w:rsidP="00A01DB1">
            <w:pPr>
              <w:widowControl w:val="0"/>
              <w:spacing w:after="0" w:line="240" w:lineRule="auto"/>
              <w:rPr>
                <w:rFonts w:eastAsia="Calibri"/>
                <w:b/>
                <w:color w:val="auto"/>
                <w:lang w:val="en-US" w:eastAsia="en-US"/>
              </w:rPr>
            </w:pPr>
            <w:r w:rsidRPr="007943A0">
              <w:rPr>
                <w:rFonts w:eastAsia="Calibri"/>
                <w:i/>
                <w:color w:val="000000"/>
                <w:lang w:val="en-US" w:eastAsia="en-US"/>
              </w:rPr>
              <w:t>P.putida</w:t>
            </w:r>
          </w:p>
        </w:tc>
        <w:tc>
          <w:tcPr>
            <w:tcW w:w="1629" w:type="dxa"/>
            <w:tcBorders>
              <w:top w:val="single" w:sz="8" w:space="0" w:color="auto"/>
              <w:left w:val="single" w:sz="8" w:space="0" w:color="auto"/>
              <w:bottom w:val="single" w:sz="8" w:space="0" w:color="auto"/>
              <w:right w:val="thinThickSmallGap" w:sz="12" w:space="0" w:color="auto"/>
            </w:tcBorders>
            <w:vAlign w:val="center"/>
          </w:tcPr>
          <w:p w14:paraId="400B2784" w14:textId="77777777" w:rsidR="007943A0" w:rsidRPr="007943A0" w:rsidRDefault="007943A0" w:rsidP="00A01DB1">
            <w:pPr>
              <w:widowControl w:val="0"/>
              <w:spacing w:after="0" w:line="240" w:lineRule="auto"/>
              <w:rPr>
                <w:rFonts w:eastAsia="Calibri"/>
                <w:b/>
                <w:color w:val="auto"/>
                <w:lang w:val="en-US" w:eastAsia="en-US"/>
              </w:rPr>
            </w:pPr>
            <w:r w:rsidRPr="007943A0">
              <w:rPr>
                <w:rFonts w:eastAsia="Calibri"/>
                <w:color w:val="000000"/>
                <w:lang w:val="en-US" w:eastAsia="en-US"/>
              </w:rPr>
              <w:t>BC 1617</w:t>
            </w:r>
          </w:p>
        </w:tc>
      </w:tr>
      <w:tr w:rsidR="007943A0" w:rsidRPr="007943A0" w14:paraId="5EE82B29" w14:textId="77777777" w:rsidTr="002A683A">
        <w:trPr>
          <w:jc w:val="center"/>
        </w:trPr>
        <w:tc>
          <w:tcPr>
            <w:tcW w:w="2410" w:type="dxa"/>
            <w:tcBorders>
              <w:top w:val="single" w:sz="8" w:space="0" w:color="auto"/>
              <w:left w:val="thinThickSmallGap" w:sz="12" w:space="0" w:color="auto"/>
              <w:bottom w:val="single" w:sz="8" w:space="0" w:color="auto"/>
              <w:right w:val="single" w:sz="8" w:space="0" w:color="auto"/>
            </w:tcBorders>
            <w:vAlign w:val="center"/>
          </w:tcPr>
          <w:p w14:paraId="6CC5CA6A" w14:textId="139025EA" w:rsidR="007943A0" w:rsidRPr="007943A0" w:rsidRDefault="007943A0" w:rsidP="00A01DB1">
            <w:pPr>
              <w:widowControl w:val="0"/>
              <w:autoSpaceDE w:val="0"/>
              <w:autoSpaceDN w:val="0"/>
              <w:adjustRightInd w:val="0"/>
              <w:spacing w:after="0" w:line="240" w:lineRule="auto"/>
              <w:rPr>
                <w:rFonts w:eastAsia="Calibri"/>
                <w:color w:val="000000"/>
                <w:lang w:val="en-US" w:eastAsia="en-US"/>
              </w:rPr>
            </w:pPr>
            <w:r w:rsidRPr="007943A0">
              <w:rPr>
                <w:rFonts w:eastAsia="Calibri"/>
                <w:i/>
                <w:color w:val="000000"/>
                <w:lang w:val="en-US" w:eastAsia="en-US"/>
              </w:rPr>
              <w:t>Klebsiella pnemoniae</w:t>
            </w:r>
          </w:p>
        </w:tc>
        <w:tc>
          <w:tcPr>
            <w:tcW w:w="1629" w:type="dxa"/>
            <w:tcBorders>
              <w:top w:val="single" w:sz="8" w:space="0" w:color="auto"/>
              <w:left w:val="single" w:sz="8" w:space="0" w:color="auto"/>
              <w:bottom w:val="single" w:sz="8" w:space="0" w:color="auto"/>
              <w:right w:val="thinThickSmallGap" w:sz="12" w:space="0" w:color="auto"/>
            </w:tcBorders>
            <w:vAlign w:val="center"/>
          </w:tcPr>
          <w:p w14:paraId="7AF33293" w14:textId="77777777" w:rsidR="007943A0" w:rsidRPr="007943A0" w:rsidRDefault="007943A0" w:rsidP="00A01DB1">
            <w:pPr>
              <w:widowControl w:val="0"/>
              <w:spacing w:after="0" w:line="240" w:lineRule="auto"/>
              <w:rPr>
                <w:rFonts w:eastAsia="Calibri"/>
                <w:b/>
                <w:color w:val="auto"/>
                <w:lang w:val="en-US" w:eastAsia="en-US"/>
              </w:rPr>
            </w:pPr>
            <w:r w:rsidRPr="007943A0">
              <w:rPr>
                <w:rFonts w:eastAsia="Calibri"/>
                <w:color w:val="000000"/>
                <w:lang w:val="en-US" w:eastAsia="en-US"/>
              </w:rPr>
              <w:t>BL 2003</w:t>
            </w:r>
          </w:p>
        </w:tc>
      </w:tr>
    </w:tbl>
    <w:p w14:paraId="3B5B7EFC" w14:textId="77777777" w:rsidR="009D31CC" w:rsidRDefault="009D31CC" w:rsidP="002A683A">
      <w:pPr>
        <w:pStyle w:val="balk20"/>
        <w:spacing w:before="0" w:after="0" w:line="240" w:lineRule="auto"/>
        <w:ind w:firstLine="0"/>
        <w:rPr>
          <w:rFonts w:eastAsia="Calibri"/>
          <w:lang w:eastAsia="en-US"/>
        </w:rPr>
      </w:pPr>
      <w:bookmarkStart w:id="62" w:name="_Toc64567843"/>
    </w:p>
    <w:p w14:paraId="79605B80" w14:textId="77777777" w:rsidR="002A683A" w:rsidRDefault="002A683A" w:rsidP="002A683A">
      <w:pPr>
        <w:pStyle w:val="balk20"/>
        <w:spacing w:before="0" w:after="0" w:line="240" w:lineRule="auto"/>
        <w:ind w:firstLine="0"/>
        <w:rPr>
          <w:rFonts w:eastAsia="Calibri"/>
          <w:lang w:eastAsia="en-US"/>
        </w:rPr>
      </w:pPr>
    </w:p>
    <w:p w14:paraId="40235A78" w14:textId="77777777" w:rsidR="009D31CC" w:rsidRDefault="009D31CC" w:rsidP="004E5832">
      <w:pPr>
        <w:pStyle w:val="balk20"/>
        <w:spacing w:before="0" w:after="0" w:line="240" w:lineRule="auto"/>
        <w:rPr>
          <w:rFonts w:eastAsia="Calibri"/>
          <w:lang w:eastAsia="en-US"/>
        </w:rPr>
      </w:pPr>
    </w:p>
    <w:p w14:paraId="44C33BD9" w14:textId="1ABF76BB" w:rsidR="007943A0" w:rsidRDefault="00BA6DD8" w:rsidP="004E5832">
      <w:pPr>
        <w:pStyle w:val="balk20"/>
        <w:spacing w:before="0" w:after="0" w:line="240" w:lineRule="auto"/>
        <w:rPr>
          <w:rFonts w:eastAsia="Calibri"/>
          <w:lang w:eastAsia="en-US"/>
        </w:rPr>
      </w:pPr>
      <w:r>
        <w:rPr>
          <w:rFonts w:eastAsia="Calibri"/>
          <w:lang w:eastAsia="en-US"/>
        </w:rPr>
        <w:t>2.3</w:t>
      </w:r>
      <w:r w:rsidR="007943A0" w:rsidRPr="007943A0">
        <w:rPr>
          <w:rFonts w:eastAsia="Calibri"/>
          <w:lang w:eastAsia="en-US"/>
        </w:rPr>
        <w:t>. Kullanılan Kimyasal Maddeler</w:t>
      </w:r>
      <w:bookmarkEnd w:id="62"/>
    </w:p>
    <w:p w14:paraId="57582CD0" w14:textId="77777777" w:rsidR="004E5832" w:rsidRPr="007943A0" w:rsidRDefault="004E5832" w:rsidP="004E5832">
      <w:pPr>
        <w:pStyle w:val="balk20"/>
        <w:spacing w:before="0" w:after="0"/>
        <w:rPr>
          <w:rFonts w:eastAsia="Calibri"/>
          <w:lang w:eastAsia="en-US"/>
        </w:rPr>
      </w:pPr>
    </w:p>
    <w:p w14:paraId="54BDA8BF" w14:textId="6627C98B" w:rsidR="004E5832" w:rsidRDefault="007943A0" w:rsidP="004E583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Analiz yapılırken kullanılan kimyasal malzemelerin tümü analitik saflıktadır. Asetilkolinesteraz, bütirilkolinesteraz, bütirilkoliniyodür, asetilkoliniyodür, Tris, HCl, Mueller Hinton agar, etanol gibi kimyasallar Sigma-Aldrich’den temin edildi.</w:t>
      </w:r>
    </w:p>
    <w:p w14:paraId="1F6BD475" w14:textId="77777777" w:rsidR="004E5832" w:rsidRPr="007943A0" w:rsidRDefault="004E5832" w:rsidP="004E583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p>
    <w:p w14:paraId="59FE21B5" w14:textId="68415E60" w:rsidR="007943A0" w:rsidRDefault="00BA6DD8" w:rsidP="004E5832">
      <w:pPr>
        <w:pStyle w:val="balk20"/>
        <w:spacing w:before="0" w:after="0" w:line="240" w:lineRule="auto"/>
        <w:rPr>
          <w:rFonts w:eastAsia="Times New Roman"/>
        </w:rPr>
      </w:pPr>
      <w:r>
        <w:rPr>
          <w:rFonts w:eastAsia="Times New Roman"/>
        </w:rPr>
        <w:t>2.4</w:t>
      </w:r>
      <w:r w:rsidR="007943A0" w:rsidRPr="007943A0">
        <w:rPr>
          <w:rFonts w:eastAsia="Times New Roman"/>
        </w:rPr>
        <w:t>. Çalışmada Kullanılan Alet ve Cihazlar</w:t>
      </w:r>
    </w:p>
    <w:p w14:paraId="0AFF8B0B" w14:textId="77777777" w:rsidR="004E5832" w:rsidRPr="007943A0" w:rsidRDefault="004E5832" w:rsidP="00DC51C4">
      <w:pPr>
        <w:pStyle w:val="balk20"/>
        <w:spacing w:before="0" w:after="0"/>
        <w:rPr>
          <w:rFonts w:eastAsia="Times New Roman"/>
        </w:rPr>
      </w:pPr>
    </w:p>
    <w:p w14:paraId="1A2D1636" w14:textId="77777777" w:rsidR="007140E0" w:rsidRDefault="007943A0" w:rsidP="007140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Gıda mühendisliği bölümünde tez için ge</w:t>
      </w:r>
      <w:r w:rsidR="007140E0">
        <w:rPr>
          <w:rFonts w:eastAsia="Times New Roman"/>
          <w:color w:val="auto"/>
        </w:rPr>
        <w:t>rekli olan cihazlar mevcuttur.</w:t>
      </w:r>
    </w:p>
    <w:p w14:paraId="0BD13E55" w14:textId="77777777" w:rsidR="007140E0" w:rsidRDefault="007140E0" w:rsidP="007140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eastAsia="Times New Roman"/>
          <w:color w:val="auto"/>
        </w:rPr>
      </w:pPr>
    </w:p>
    <w:p w14:paraId="7550FDB2" w14:textId="77777777" w:rsidR="007140E0" w:rsidRDefault="007140E0" w:rsidP="007140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eastAsia="Times New Roman"/>
          <w:color w:val="auto"/>
        </w:rPr>
      </w:pPr>
    </w:p>
    <w:p w14:paraId="5F8B25CA" w14:textId="60A8F133" w:rsidR="003A4634" w:rsidRDefault="007140E0" w:rsidP="007140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eastAsia="Times New Roman"/>
          <w:color w:val="auto"/>
        </w:rPr>
      </w:pPr>
      <w:r>
        <w:rPr>
          <w:rFonts w:eastAsia="Times New Roman"/>
          <w:color w:val="auto"/>
        </w:rPr>
        <w:t xml:space="preserve">     </w:t>
      </w:r>
      <w:r w:rsidR="007943A0" w:rsidRPr="007943A0">
        <w:rPr>
          <w:rFonts w:eastAsia="Times New Roman"/>
          <w:color w:val="auto"/>
        </w:rPr>
        <w:t>Tablo 2.2.</w:t>
      </w:r>
      <w:r w:rsidR="007943A0" w:rsidRPr="007943A0">
        <w:rPr>
          <w:rFonts w:eastAsia="Times New Roman"/>
          <w:b/>
          <w:color w:val="auto"/>
        </w:rPr>
        <w:t xml:space="preserve"> </w:t>
      </w:r>
      <w:r w:rsidR="003A4634">
        <w:rPr>
          <w:rFonts w:eastAsia="Times New Roman"/>
          <w:color w:val="auto"/>
        </w:rPr>
        <w:t>Yararlanılan alet ve cihazlar</w:t>
      </w:r>
    </w:p>
    <w:p w14:paraId="0751C40C" w14:textId="77777777" w:rsidR="007140E0" w:rsidRPr="007943A0" w:rsidRDefault="007140E0" w:rsidP="007140E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eastAsia="Times New Roman"/>
          <w:color w:val="auto"/>
        </w:rPr>
      </w:pPr>
    </w:p>
    <w:tbl>
      <w:tblPr>
        <w:tblW w:w="7054" w:type="dxa"/>
        <w:jc w:val="center"/>
        <w:tblLook w:val="04A0" w:firstRow="1" w:lastRow="0" w:firstColumn="1" w:lastColumn="0" w:noHBand="0" w:noVBand="1"/>
      </w:tblPr>
      <w:tblGrid>
        <w:gridCol w:w="4172"/>
        <w:gridCol w:w="2882"/>
      </w:tblGrid>
      <w:tr w:rsidR="003A4634" w:rsidRPr="007943A0" w14:paraId="08750FF6" w14:textId="77777777" w:rsidTr="004B0B2E">
        <w:trPr>
          <w:trHeight w:val="225"/>
          <w:jc w:val="center"/>
        </w:trPr>
        <w:tc>
          <w:tcPr>
            <w:tcW w:w="4172" w:type="dxa"/>
            <w:tcBorders>
              <w:top w:val="double" w:sz="4" w:space="0" w:color="auto"/>
              <w:left w:val="nil"/>
              <w:bottom w:val="double" w:sz="4" w:space="0" w:color="auto"/>
              <w:right w:val="nil"/>
            </w:tcBorders>
            <w:hideMark/>
          </w:tcPr>
          <w:p w14:paraId="2F2C5D44" w14:textId="77777777" w:rsidR="003A4634" w:rsidRPr="007943A0" w:rsidRDefault="003A4634" w:rsidP="004B0B2E">
            <w:pPr>
              <w:widowControl w:val="0"/>
              <w:spacing w:after="0" w:line="360" w:lineRule="auto"/>
              <w:ind w:right="116"/>
              <w:jc w:val="both"/>
              <w:rPr>
                <w:rFonts w:eastAsia="Times New Roman"/>
                <w:b/>
                <w:color w:val="auto"/>
                <w:spacing w:val="-1"/>
                <w:kern w:val="16"/>
                <w:lang w:val="en-US" w:eastAsia="en-US"/>
              </w:rPr>
            </w:pPr>
            <w:bookmarkStart w:id="63" w:name="_Toc64567844"/>
            <w:r w:rsidRPr="007943A0">
              <w:rPr>
                <w:rFonts w:eastAsia="Times New Roman"/>
                <w:b/>
                <w:color w:val="auto"/>
                <w:spacing w:val="-1"/>
                <w:kern w:val="16"/>
                <w:lang w:val="en-US" w:eastAsia="en-US"/>
              </w:rPr>
              <w:t xml:space="preserve">       Cihazın adı</w:t>
            </w:r>
          </w:p>
        </w:tc>
        <w:tc>
          <w:tcPr>
            <w:tcW w:w="2882" w:type="dxa"/>
            <w:tcBorders>
              <w:top w:val="double" w:sz="4" w:space="0" w:color="auto"/>
              <w:left w:val="nil"/>
              <w:bottom w:val="double" w:sz="4" w:space="0" w:color="auto"/>
              <w:right w:val="nil"/>
            </w:tcBorders>
            <w:hideMark/>
          </w:tcPr>
          <w:p w14:paraId="5402BF63" w14:textId="77777777" w:rsidR="003A4634" w:rsidRPr="007943A0" w:rsidRDefault="003A4634" w:rsidP="004B0B2E">
            <w:pPr>
              <w:widowControl w:val="0"/>
              <w:spacing w:after="0" w:line="360" w:lineRule="auto"/>
              <w:ind w:right="129" w:firstLine="708"/>
              <w:jc w:val="both"/>
              <w:rPr>
                <w:rFonts w:eastAsia="Times New Roman"/>
                <w:b/>
                <w:color w:val="auto"/>
                <w:spacing w:val="-1"/>
                <w:kern w:val="16"/>
                <w:lang w:val="en-US" w:eastAsia="en-US"/>
              </w:rPr>
            </w:pPr>
            <w:r w:rsidRPr="007943A0">
              <w:rPr>
                <w:rFonts w:eastAsia="Times New Roman"/>
                <w:b/>
                <w:color w:val="auto"/>
                <w:spacing w:val="-1"/>
                <w:kern w:val="16"/>
                <w:lang w:val="en-US" w:eastAsia="en-US"/>
              </w:rPr>
              <w:t>Marka/Model</w:t>
            </w:r>
          </w:p>
        </w:tc>
      </w:tr>
      <w:tr w:rsidR="003A4634" w:rsidRPr="007943A0" w14:paraId="219DA1EC" w14:textId="77777777" w:rsidTr="004B0B2E">
        <w:trPr>
          <w:trHeight w:val="292"/>
          <w:jc w:val="center"/>
        </w:trPr>
        <w:tc>
          <w:tcPr>
            <w:tcW w:w="4172" w:type="dxa"/>
            <w:tcBorders>
              <w:top w:val="double" w:sz="4" w:space="0" w:color="auto"/>
              <w:left w:val="nil"/>
              <w:bottom w:val="single" w:sz="4" w:space="0" w:color="auto"/>
              <w:right w:val="nil"/>
            </w:tcBorders>
            <w:hideMark/>
          </w:tcPr>
          <w:p w14:paraId="0DF1FF6D" w14:textId="77777777" w:rsidR="003A4634" w:rsidRPr="007943A0" w:rsidRDefault="003A4634" w:rsidP="003A4634">
            <w:pPr>
              <w:widowControl w:val="0"/>
              <w:numPr>
                <w:ilvl w:val="0"/>
                <w:numId w:val="5"/>
              </w:numPr>
              <w:spacing w:after="0" w:line="360" w:lineRule="auto"/>
              <w:ind w:right="116"/>
              <w:jc w:val="both"/>
              <w:rPr>
                <w:rFonts w:eastAsia="Times New Roman"/>
                <w:color w:val="auto"/>
                <w:spacing w:val="-1"/>
                <w:kern w:val="16"/>
                <w:lang w:val="en-US" w:eastAsia="en-US"/>
              </w:rPr>
            </w:pPr>
            <w:r w:rsidRPr="007943A0">
              <w:rPr>
                <w:rFonts w:eastAsia="Times New Roman"/>
                <w:color w:val="auto"/>
                <w:spacing w:val="-1"/>
                <w:kern w:val="16"/>
                <w:lang w:val="en-US" w:eastAsia="en-US"/>
              </w:rPr>
              <w:t>Hassas terazi</w:t>
            </w:r>
          </w:p>
        </w:tc>
        <w:tc>
          <w:tcPr>
            <w:tcW w:w="2882" w:type="dxa"/>
            <w:tcBorders>
              <w:top w:val="double" w:sz="4" w:space="0" w:color="auto"/>
              <w:left w:val="nil"/>
              <w:bottom w:val="nil"/>
              <w:right w:val="nil"/>
            </w:tcBorders>
            <w:hideMark/>
          </w:tcPr>
          <w:p w14:paraId="17E0AEC6" w14:textId="77777777" w:rsidR="003A4634" w:rsidRPr="007943A0" w:rsidRDefault="003A4634" w:rsidP="004B0B2E">
            <w:pPr>
              <w:widowControl w:val="0"/>
              <w:spacing w:after="0" w:line="360" w:lineRule="auto"/>
              <w:ind w:right="283" w:firstLine="708"/>
              <w:jc w:val="both"/>
              <w:rPr>
                <w:rFonts w:eastAsia="Times New Roman"/>
                <w:color w:val="auto"/>
                <w:spacing w:val="-1"/>
                <w:kern w:val="16"/>
                <w:lang w:val="en-US" w:eastAsia="en-US"/>
              </w:rPr>
            </w:pPr>
            <w:r w:rsidRPr="007943A0">
              <w:rPr>
                <w:rFonts w:eastAsia="Times New Roman"/>
                <w:color w:val="auto"/>
                <w:spacing w:val="-1"/>
                <w:kern w:val="16"/>
                <w:lang w:val="en-US" w:eastAsia="en-US"/>
              </w:rPr>
              <w:t>Ohaus</w:t>
            </w:r>
          </w:p>
        </w:tc>
      </w:tr>
      <w:tr w:rsidR="003A4634" w:rsidRPr="007943A0" w14:paraId="467AB87E" w14:textId="77777777" w:rsidTr="004B0B2E">
        <w:trPr>
          <w:trHeight w:val="304"/>
          <w:jc w:val="center"/>
        </w:trPr>
        <w:tc>
          <w:tcPr>
            <w:tcW w:w="4172" w:type="dxa"/>
            <w:tcBorders>
              <w:top w:val="single" w:sz="4" w:space="0" w:color="auto"/>
              <w:bottom w:val="single" w:sz="4" w:space="0" w:color="auto"/>
            </w:tcBorders>
            <w:hideMark/>
          </w:tcPr>
          <w:p w14:paraId="375992DB" w14:textId="77777777" w:rsidR="003A4634" w:rsidRPr="007943A0" w:rsidRDefault="003A4634" w:rsidP="003A4634">
            <w:pPr>
              <w:widowControl w:val="0"/>
              <w:numPr>
                <w:ilvl w:val="0"/>
                <w:numId w:val="5"/>
              </w:numPr>
              <w:spacing w:after="0" w:line="360" w:lineRule="auto"/>
              <w:ind w:right="116"/>
              <w:jc w:val="both"/>
              <w:rPr>
                <w:rFonts w:eastAsia="Times New Roman"/>
                <w:color w:val="auto"/>
                <w:spacing w:val="-1"/>
                <w:kern w:val="16"/>
                <w:lang w:val="en-US" w:eastAsia="en-US"/>
              </w:rPr>
            </w:pPr>
            <w:r w:rsidRPr="007943A0">
              <w:rPr>
                <w:rFonts w:eastAsia="Times New Roman"/>
                <w:color w:val="auto"/>
                <w:spacing w:val="-1"/>
                <w:kern w:val="16"/>
                <w:lang w:val="en-US" w:eastAsia="en-US"/>
              </w:rPr>
              <w:t xml:space="preserve">pH metre </w:t>
            </w:r>
          </w:p>
        </w:tc>
        <w:tc>
          <w:tcPr>
            <w:tcW w:w="2882" w:type="dxa"/>
            <w:tcBorders>
              <w:top w:val="single" w:sz="4" w:space="0" w:color="auto"/>
              <w:bottom w:val="single" w:sz="4" w:space="0" w:color="auto"/>
            </w:tcBorders>
            <w:hideMark/>
          </w:tcPr>
          <w:p w14:paraId="0263B746" w14:textId="77777777" w:rsidR="003A4634" w:rsidRPr="007943A0" w:rsidRDefault="003A4634" w:rsidP="004B0B2E">
            <w:pPr>
              <w:widowControl w:val="0"/>
              <w:spacing w:after="0" w:line="360" w:lineRule="auto"/>
              <w:ind w:right="116" w:firstLine="708"/>
              <w:jc w:val="both"/>
              <w:rPr>
                <w:rFonts w:eastAsia="Times New Roman"/>
                <w:color w:val="auto"/>
                <w:spacing w:val="-1"/>
                <w:kern w:val="16"/>
                <w:lang w:val="en-US" w:eastAsia="en-US"/>
              </w:rPr>
            </w:pPr>
            <w:r w:rsidRPr="007943A0">
              <w:rPr>
                <w:rFonts w:eastAsia="Times New Roman"/>
                <w:color w:val="auto"/>
                <w:spacing w:val="-1"/>
                <w:kern w:val="16"/>
                <w:lang w:val="en-US" w:eastAsia="en-US"/>
              </w:rPr>
              <w:t>İnoLab WTW</w:t>
            </w:r>
          </w:p>
        </w:tc>
      </w:tr>
      <w:tr w:rsidR="004B0B2E" w:rsidRPr="007943A0" w14:paraId="28FEA9D2" w14:textId="77777777" w:rsidTr="004B0B2E">
        <w:trPr>
          <w:gridAfter w:val="1"/>
          <w:wAfter w:w="2882" w:type="dxa"/>
          <w:trHeight w:val="409"/>
          <w:jc w:val="center"/>
        </w:trPr>
        <w:tc>
          <w:tcPr>
            <w:tcW w:w="4172" w:type="dxa"/>
          </w:tcPr>
          <w:p w14:paraId="5F5657DB" w14:textId="77777777" w:rsidR="004B0B2E" w:rsidRDefault="004B0B2E" w:rsidP="004B0B2E">
            <w:pPr>
              <w:widowControl w:val="0"/>
              <w:tabs>
                <w:tab w:val="right" w:pos="3840"/>
              </w:tabs>
              <w:spacing w:after="0" w:line="240" w:lineRule="auto"/>
              <w:ind w:right="113"/>
              <w:jc w:val="both"/>
              <w:rPr>
                <w:rFonts w:eastAsia="Times New Roman"/>
                <w:color w:val="auto"/>
                <w:spacing w:val="-1"/>
                <w:kern w:val="16"/>
                <w:lang w:val="en-US" w:eastAsia="en-US"/>
              </w:rPr>
            </w:pPr>
            <w:r w:rsidRPr="004B0B2E">
              <w:rPr>
                <w:rFonts w:eastAsia="Times New Roman"/>
                <w:color w:val="auto"/>
                <w:spacing w:val="-1"/>
                <w:kern w:val="16"/>
                <w:lang w:val="en-US" w:eastAsia="en-US"/>
              </w:rPr>
              <w:lastRenderedPageBreak/>
              <w:t>Tablo 2.2. (devamı)</w:t>
            </w:r>
          </w:p>
          <w:p w14:paraId="5AF9921F" w14:textId="0E755E4E" w:rsidR="004B0B2E" w:rsidRPr="007943A0" w:rsidRDefault="004B0B2E" w:rsidP="004B0B2E">
            <w:pPr>
              <w:widowControl w:val="0"/>
              <w:tabs>
                <w:tab w:val="right" w:pos="3840"/>
              </w:tabs>
              <w:spacing w:after="0" w:line="240" w:lineRule="auto"/>
              <w:ind w:right="113"/>
              <w:jc w:val="both"/>
              <w:rPr>
                <w:rFonts w:eastAsia="Times New Roman"/>
                <w:color w:val="auto"/>
                <w:spacing w:val="-1"/>
                <w:kern w:val="16"/>
                <w:lang w:val="en-US" w:eastAsia="en-US"/>
              </w:rPr>
            </w:pPr>
            <w:r>
              <w:rPr>
                <w:rFonts w:eastAsia="Times New Roman"/>
                <w:color w:val="auto"/>
                <w:spacing w:val="-1"/>
                <w:kern w:val="16"/>
                <w:lang w:val="en-US" w:eastAsia="en-US"/>
              </w:rPr>
              <w:tab/>
            </w:r>
          </w:p>
        </w:tc>
      </w:tr>
      <w:tr w:rsidR="003A4634" w:rsidRPr="007943A0" w14:paraId="4A9EF17E" w14:textId="77777777" w:rsidTr="004B0B2E">
        <w:trPr>
          <w:trHeight w:val="409"/>
          <w:jc w:val="center"/>
        </w:trPr>
        <w:tc>
          <w:tcPr>
            <w:tcW w:w="4172" w:type="dxa"/>
            <w:tcBorders>
              <w:top w:val="single" w:sz="4" w:space="0" w:color="auto"/>
            </w:tcBorders>
            <w:hideMark/>
          </w:tcPr>
          <w:p w14:paraId="6D049F3A" w14:textId="77777777" w:rsidR="003A4634" w:rsidRPr="007943A0" w:rsidRDefault="003A4634" w:rsidP="003A4634">
            <w:pPr>
              <w:widowControl w:val="0"/>
              <w:numPr>
                <w:ilvl w:val="0"/>
                <w:numId w:val="5"/>
              </w:numPr>
              <w:spacing w:after="0" w:line="360" w:lineRule="auto"/>
              <w:ind w:right="116"/>
              <w:jc w:val="both"/>
              <w:rPr>
                <w:rFonts w:eastAsia="Times New Roman"/>
                <w:color w:val="auto"/>
                <w:spacing w:val="-1"/>
                <w:kern w:val="16"/>
                <w:lang w:val="en-US" w:eastAsia="en-US"/>
              </w:rPr>
            </w:pPr>
            <w:r w:rsidRPr="007943A0">
              <w:rPr>
                <w:rFonts w:eastAsia="Times New Roman"/>
                <w:color w:val="auto"/>
                <w:spacing w:val="-1"/>
                <w:kern w:val="16"/>
                <w:lang w:val="en-US" w:eastAsia="en-US"/>
              </w:rPr>
              <w:t>Mikrobiyoloji kabini</w:t>
            </w:r>
          </w:p>
        </w:tc>
        <w:tc>
          <w:tcPr>
            <w:tcW w:w="2882" w:type="dxa"/>
            <w:tcBorders>
              <w:top w:val="single" w:sz="4" w:space="0" w:color="auto"/>
            </w:tcBorders>
            <w:hideMark/>
          </w:tcPr>
          <w:p w14:paraId="655D62AA" w14:textId="77777777" w:rsidR="003A4634" w:rsidRPr="007943A0" w:rsidRDefault="003A4634" w:rsidP="004B0B2E">
            <w:pPr>
              <w:widowControl w:val="0"/>
              <w:spacing w:after="0" w:line="360" w:lineRule="auto"/>
              <w:ind w:right="116" w:firstLine="708"/>
              <w:jc w:val="both"/>
              <w:rPr>
                <w:rFonts w:eastAsia="Times New Roman"/>
                <w:color w:val="auto"/>
                <w:spacing w:val="-1"/>
                <w:kern w:val="16"/>
                <w:lang w:val="en-US" w:eastAsia="en-US"/>
              </w:rPr>
            </w:pPr>
            <w:r w:rsidRPr="007943A0">
              <w:rPr>
                <w:rFonts w:eastAsia="Times New Roman"/>
                <w:color w:val="auto"/>
                <w:spacing w:val="-1"/>
                <w:kern w:val="16"/>
                <w:lang w:val="en-US" w:eastAsia="en-US"/>
              </w:rPr>
              <w:t xml:space="preserve">Bıosafety Cabinett </w:t>
            </w:r>
          </w:p>
        </w:tc>
      </w:tr>
      <w:tr w:rsidR="003A4634" w:rsidRPr="007943A0" w14:paraId="34BDDEC9" w14:textId="77777777" w:rsidTr="004B0B2E">
        <w:trPr>
          <w:trHeight w:val="304"/>
          <w:jc w:val="center"/>
        </w:trPr>
        <w:tc>
          <w:tcPr>
            <w:tcW w:w="4172" w:type="dxa"/>
            <w:tcBorders>
              <w:top w:val="single" w:sz="4" w:space="0" w:color="auto"/>
              <w:bottom w:val="single" w:sz="4" w:space="0" w:color="auto"/>
            </w:tcBorders>
            <w:hideMark/>
          </w:tcPr>
          <w:p w14:paraId="2182B222" w14:textId="77777777" w:rsidR="003A4634" w:rsidRPr="007943A0" w:rsidRDefault="003A4634" w:rsidP="003A4634">
            <w:pPr>
              <w:widowControl w:val="0"/>
              <w:numPr>
                <w:ilvl w:val="0"/>
                <w:numId w:val="5"/>
              </w:numPr>
              <w:spacing w:after="0" w:line="360" w:lineRule="auto"/>
              <w:ind w:right="116"/>
              <w:jc w:val="both"/>
              <w:rPr>
                <w:rFonts w:eastAsia="Times New Roman"/>
                <w:color w:val="auto"/>
                <w:spacing w:val="-1"/>
                <w:kern w:val="16"/>
                <w:lang w:val="en-US" w:eastAsia="en-US"/>
              </w:rPr>
            </w:pPr>
            <w:r w:rsidRPr="007943A0">
              <w:rPr>
                <w:rFonts w:eastAsia="Times New Roman"/>
                <w:color w:val="auto"/>
                <w:spacing w:val="-1"/>
                <w:kern w:val="16"/>
                <w:lang w:val="en-US" w:eastAsia="en-US"/>
              </w:rPr>
              <w:t xml:space="preserve">UV-VİS Spektrofotometre </w:t>
            </w:r>
          </w:p>
        </w:tc>
        <w:tc>
          <w:tcPr>
            <w:tcW w:w="2882" w:type="dxa"/>
            <w:tcBorders>
              <w:top w:val="single" w:sz="4" w:space="0" w:color="auto"/>
              <w:bottom w:val="single" w:sz="4" w:space="0" w:color="auto"/>
            </w:tcBorders>
            <w:hideMark/>
          </w:tcPr>
          <w:p w14:paraId="2DF896CC" w14:textId="77777777" w:rsidR="003A4634" w:rsidRPr="007943A0" w:rsidRDefault="003A4634" w:rsidP="004B0B2E">
            <w:pPr>
              <w:widowControl w:val="0"/>
              <w:spacing w:after="0" w:line="360" w:lineRule="auto"/>
              <w:ind w:right="116" w:firstLine="708"/>
              <w:jc w:val="both"/>
              <w:rPr>
                <w:rFonts w:eastAsia="Times New Roman"/>
                <w:color w:val="auto"/>
                <w:spacing w:val="-1"/>
                <w:kern w:val="16"/>
                <w:lang w:val="en-US" w:eastAsia="en-US"/>
              </w:rPr>
            </w:pPr>
            <w:r w:rsidRPr="007943A0">
              <w:rPr>
                <w:rFonts w:eastAsia="Times New Roman"/>
                <w:color w:val="auto"/>
                <w:spacing w:val="-1"/>
                <w:kern w:val="16"/>
                <w:lang w:val="en-US" w:eastAsia="en-US"/>
              </w:rPr>
              <w:t>WVR</w:t>
            </w:r>
          </w:p>
        </w:tc>
      </w:tr>
      <w:tr w:rsidR="003A4634" w:rsidRPr="007943A0" w14:paraId="0886F723" w14:textId="77777777" w:rsidTr="004B0B2E">
        <w:trPr>
          <w:trHeight w:val="315"/>
          <w:jc w:val="center"/>
        </w:trPr>
        <w:tc>
          <w:tcPr>
            <w:tcW w:w="4172" w:type="dxa"/>
            <w:tcBorders>
              <w:bottom w:val="single" w:sz="4" w:space="0" w:color="auto"/>
            </w:tcBorders>
            <w:hideMark/>
          </w:tcPr>
          <w:p w14:paraId="73189437" w14:textId="77777777" w:rsidR="003A4634" w:rsidRPr="007943A0" w:rsidRDefault="003A4634" w:rsidP="003A4634">
            <w:pPr>
              <w:widowControl w:val="0"/>
              <w:numPr>
                <w:ilvl w:val="0"/>
                <w:numId w:val="5"/>
              </w:numPr>
              <w:spacing w:after="0" w:line="360" w:lineRule="auto"/>
              <w:ind w:right="116"/>
              <w:jc w:val="both"/>
              <w:rPr>
                <w:rFonts w:eastAsia="Times New Roman"/>
                <w:color w:val="auto"/>
                <w:spacing w:val="-1"/>
                <w:kern w:val="16"/>
                <w:lang w:val="en-US" w:eastAsia="en-US"/>
              </w:rPr>
            </w:pPr>
            <w:r w:rsidRPr="007943A0">
              <w:rPr>
                <w:rFonts w:eastAsia="Times New Roman"/>
                <w:color w:val="auto"/>
                <w:spacing w:val="-1"/>
                <w:kern w:val="16"/>
                <w:lang w:val="en-US" w:eastAsia="en-US"/>
              </w:rPr>
              <w:t xml:space="preserve">Vorteks karıştırıcı </w:t>
            </w:r>
          </w:p>
        </w:tc>
        <w:tc>
          <w:tcPr>
            <w:tcW w:w="2882" w:type="dxa"/>
            <w:tcBorders>
              <w:bottom w:val="single" w:sz="4" w:space="0" w:color="auto"/>
            </w:tcBorders>
            <w:hideMark/>
          </w:tcPr>
          <w:p w14:paraId="10FB01F6" w14:textId="77777777" w:rsidR="003A4634" w:rsidRPr="007943A0" w:rsidRDefault="003A4634" w:rsidP="004B0B2E">
            <w:pPr>
              <w:widowControl w:val="0"/>
              <w:spacing w:after="0" w:line="360" w:lineRule="auto"/>
              <w:ind w:right="116" w:firstLine="708"/>
              <w:jc w:val="both"/>
              <w:rPr>
                <w:rFonts w:eastAsia="Times New Roman"/>
                <w:color w:val="auto"/>
                <w:spacing w:val="-1"/>
                <w:kern w:val="16"/>
                <w:lang w:val="en-US" w:eastAsia="en-US"/>
              </w:rPr>
            </w:pPr>
            <w:r w:rsidRPr="007943A0">
              <w:rPr>
                <w:rFonts w:eastAsia="Times New Roman"/>
                <w:color w:val="auto"/>
                <w:spacing w:val="-1"/>
                <w:kern w:val="16"/>
                <w:lang w:val="en-US" w:eastAsia="en-US"/>
              </w:rPr>
              <w:t>Labnet VX100</w:t>
            </w:r>
          </w:p>
        </w:tc>
      </w:tr>
      <w:tr w:rsidR="003A4634" w:rsidRPr="007943A0" w14:paraId="2C9F79F7" w14:textId="77777777" w:rsidTr="004B0B2E">
        <w:trPr>
          <w:trHeight w:val="315"/>
          <w:jc w:val="center"/>
        </w:trPr>
        <w:tc>
          <w:tcPr>
            <w:tcW w:w="4172" w:type="dxa"/>
            <w:tcBorders>
              <w:bottom w:val="single" w:sz="4" w:space="0" w:color="auto"/>
            </w:tcBorders>
            <w:hideMark/>
          </w:tcPr>
          <w:p w14:paraId="3CC3B91B" w14:textId="77777777" w:rsidR="003A4634" w:rsidRPr="007943A0" w:rsidRDefault="003A4634" w:rsidP="003A4634">
            <w:pPr>
              <w:widowControl w:val="0"/>
              <w:numPr>
                <w:ilvl w:val="0"/>
                <w:numId w:val="5"/>
              </w:numPr>
              <w:spacing w:after="0" w:line="360" w:lineRule="auto"/>
              <w:ind w:right="116"/>
              <w:jc w:val="both"/>
              <w:rPr>
                <w:rFonts w:eastAsia="Times New Roman"/>
                <w:color w:val="auto"/>
                <w:spacing w:val="-1"/>
                <w:kern w:val="16"/>
                <w:lang w:val="en-US" w:eastAsia="en-US"/>
              </w:rPr>
            </w:pPr>
            <w:r w:rsidRPr="007943A0">
              <w:rPr>
                <w:rFonts w:eastAsia="Times New Roman"/>
                <w:color w:val="auto"/>
                <w:spacing w:val="-1"/>
                <w:kern w:val="16"/>
                <w:lang w:val="en-US" w:eastAsia="en-US"/>
              </w:rPr>
              <w:t>İnkübatör</w:t>
            </w:r>
          </w:p>
        </w:tc>
        <w:tc>
          <w:tcPr>
            <w:tcW w:w="2882" w:type="dxa"/>
            <w:tcBorders>
              <w:bottom w:val="single" w:sz="4" w:space="0" w:color="auto"/>
            </w:tcBorders>
            <w:hideMark/>
          </w:tcPr>
          <w:p w14:paraId="3BA10DE9" w14:textId="77777777" w:rsidR="003A4634" w:rsidRPr="007943A0" w:rsidRDefault="003A4634" w:rsidP="004B0B2E">
            <w:pPr>
              <w:widowControl w:val="0"/>
              <w:spacing w:after="0" w:line="360" w:lineRule="auto"/>
              <w:ind w:right="116" w:firstLine="708"/>
              <w:jc w:val="both"/>
              <w:rPr>
                <w:rFonts w:eastAsia="Times New Roman"/>
                <w:color w:val="auto"/>
                <w:spacing w:val="-1"/>
                <w:kern w:val="16"/>
                <w:lang w:val="en-US" w:eastAsia="en-US"/>
              </w:rPr>
            </w:pPr>
            <w:r w:rsidRPr="007943A0">
              <w:rPr>
                <w:rFonts w:eastAsia="Times New Roman"/>
                <w:color w:val="auto"/>
                <w:spacing w:val="-1"/>
                <w:kern w:val="16"/>
                <w:lang w:val="en-US" w:eastAsia="en-US"/>
              </w:rPr>
              <w:t>Nüve</w:t>
            </w:r>
          </w:p>
        </w:tc>
      </w:tr>
      <w:tr w:rsidR="003A4634" w:rsidRPr="007943A0" w14:paraId="7184D5A4" w14:textId="77777777" w:rsidTr="004B0B2E">
        <w:trPr>
          <w:trHeight w:val="544"/>
          <w:jc w:val="center"/>
        </w:trPr>
        <w:tc>
          <w:tcPr>
            <w:tcW w:w="4172" w:type="dxa"/>
            <w:tcBorders>
              <w:bottom w:val="double" w:sz="4" w:space="0" w:color="auto"/>
            </w:tcBorders>
            <w:hideMark/>
          </w:tcPr>
          <w:p w14:paraId="7D16B5CB" w14:textId="77777777" w:rsidR="003A4634" w:rsidRPr="007943A0" w:rsidRDefault="003A4634" w:rsidP="003A4634">
            <w:pPr>
              <w:widowControl w:val="0"/>
              <w:numPr>
                <w:ilvl w:val="0"/>
                <w:numId w:val="5"/>
              </w:numPr>
              <w:spacing w:after="0" w:line="360" w:lineRule="auto"/>
              <w:ind w:right="116"/>
              <w:jc w:val="both"/>
              <w:rPr>
                <w:rFonts w:eastAsia="Times New Roman"/>
                <w:color w:val="auto"/>
                <w:spacing w:val="-1"/>
                <w:kern w:val="16"/>
                <w:lang w:val="en-US" w:eastAsia="en-US"/>
              </w:rPr>
            </w:pPr>
            <w:r w:rsidRPr="007943A0">
              <w:rPr>
                <w:rFonts w:eastAsia="Times New Roman"/>
                <w:color w:val="auto"/>
                <w:spacing w:val="-1"/>
                <w:kern w:val="16"/>
                <w:lang w:val="en-US" w:eastAsia="en-US"/>
              </w:rPr>
              <w:t>Magnetik Karıştırıcı</w:t>
            </w:r>
          </w:p>
        </w:tc>
        <w:tc>
          <w:tcPr>
            <w:tcW w:w="2882" w:type="dxa"/>
            <w:tcBorders>
              <w:bottom w:val="double" w:sz="4" w:space="0" w:color="auto"/>
            </w:tcBorders>
          </w:tcPr>
          <w:p w14:paraId="6B492E5F" w14:textId="77777777" w:rsidR="003A4634" w:rsidRPr="007943A0" w:rsidRDefault="003A4634" w:rsidP="004B0B2E">
            <w:pPr>
              <w:widowControl w:val="0"/>
              <w:spacing w:after="0" w:line="360" w:lineRule="auto"/>
              <w:ind w:right="116" w:firstLine="708"/>
              <w:jc w:val="both"/>
              <w:rPr>
                <w:rFonts w:eastAsia="Times New Roman"/>
                <w:color w:val="auto"/>
                <w:spacing w:val="-1"/>
                <w:kern w:val="16"/>
                <w:lang w:val="en-US" w:eastAsia="en-US"/>
              </w:rPr>
            </w:pPr>
            <w:r w:rsidRPr="007943A0">
              <w:rPr>
                <w:rFonts w:eastAsia="Times New Roman"/>
                <w:color w:val="auto"/>
                <w:spacing w:val="-1"/>
                <w:kern w:val="16"/>
                <w:lang w:val="en-US" w:eastAsia="en-US"/>
              </w:rPr>
              <w:t>WiseStir</w:t>
            </w:r>
          </w:p>
        </w:tc>
      </w:tr>
    </w:tbl>
    <w:p w14:paraId="01FC404F" w14:textId="77777777" w:rsidR="003A4634" w:rsidRDefault="003A4634" w:rsidP="004E5832">
      <w:pPr>
        <w:pStyle w:val="balk20"/>
        <w:spacing w:before="0" w:after="0" w:line="240" w:lineRule="auto"/>
        <w:rPr>
          <w:rFonts w:eastAsia="Times New Roman"/>
          <w:lang w:eastAsia="en-US"/>
        </w:rPr>
      </w:pPr>
    </w:p>
    <w:p w14:paraId="453BCC46" w14:textId="77777777" w:rsidR="003A4634" w:rsidRDefault="003A4634" w:rsidP="004E5832">
      <w:pPr>
        <w:pStyle w:val="balk20"/>
        <w:spacing w:before="0" w:after="0" w:line="240" w:lineRule="auto"/>
        <w:rPr>
          <w:rFonts w:eastAsia="Times New Roman"/>
          <w:lang w:eastAsia="en-US"/>
        </w:rPr>
      </w:pPr>
    </w:p>
    <w:p w14:paraId="5E6D56FC" w14:textId="242B3BED" w:rsidR="004E5832" w:rsidRDefault="007943A0" w:rsidP="007140E0">
      <w:pPr>
        <w:pStyle w:val="balk20"/>
        <w:spacing w:before="0" w:after="0" w:line="240" w:lineRule="auto"/>
        <w:rPr>
          <w:rFonts w:eastAsia="Times New Roman"/>
          <w:lang w:eastAsia="en-US"/>
        </w:rPr>
      </w:pPr>
      <w:r w:rsidRPr="007943A0">
        <w:rPr>
          <w:rFonts w:eastAsia="Times New Roman"/>
          <w:lang w:eastAsia="en-US"/>
        </w:rPr>
        <w:t>2.5. Kullanılan Çözeltiler ve Hazırlanması</w:t>
      </w:r>
      <w:bookmarkEnd w:id="63"/>
    </w:p>
    <w:p w14:paraId="29A6C179" w14:textId="77777777" w:rsidR="007140E0" w:rsidRPr="007943A0" w:rsidRDefault="007140E0" w:rsidP="007140E0">
      <w:pPr>
        <w:pStyle w:val="balk20"/>
        <w:spacing w:before="0" w:after="0"/>
        <w:rPr>
          <w:rFonts w:eastAsia="Times New Roman"/>
          <w:lang w:eastAsia="en-US"/>
        </w:rPr>
      </w:pPr>
    </w:p>
    <w:p w14:paraId="0ECE2F44" w14:textId="5AB3B0F3" w:rsidR="007140E0" w:rsidRDefault="007943A0" w:rsidP="007140E0">
      <w:pPr>
        <w:spacing w:after="0" w:line="360" w:lineRule="auto"/>
        <w:ind w:firstLine="567"/>
        <w:jc w:val="both"/>
        <w:rPr>
          <w:rFonts w:eastAsia="Calibri"/>
          <w:color w:val="000000"/>
          <w:lang w:eastAsia="en-US"/>
        </w:rPr>
      </w:pPr>
      <w:r w:rsidRPr="007943A0">
        <w:rPr>
          <w:rFonts w:eastAsia="Calibri"/>
          <w:color w:val="000000"/>
          <w:lang w:eastAsia="en-US"/>
        </w:rPr>
        <w:t>Araştırma süresince kullanılan çözeltilerin kullanılış yerleri ve hazırlanış şekilleri aşağıda verilmiştir.</w:t>
      </w:r>
    </w:p>
    <w:p w14:paraId="636A132F" w14:textId="77777777" w:rsidR="007140E0" w:rsidRPr="007943A0" w:rsidRDefault="007140E0" w:rsidP="007140E0">
      <w:pPr>
        <w:spacing w:after="0" w:line="360" w:lineRule="auto"/>
        <w:ind w:firstLine="567"/>
        <w:jc w:val="both"/>
        <w:rPr>
          <w:rFonts w:eastAsia="Calibri"/>
          <w:color w:val="000000"/>
          <w:lang w:eastAsia="en-US"/>
        </w:rPr>
      </w:pPr>
    </w:p>
    <w:p w14:paraId="0136613E" w14:textId="06942B6A" w:rsidR="004E5832" w:rsidRDefault="007943A0" w:rsidP="007140E0">
      <w:pPr>
        <w:pStyle w:val="Balk6"/>
        <w:spacing w:before="0" w:after="0" w:line="240" w:lineRule="auto"/>
        <w:rPr>
          <w:rFonts w:eastAsia="Calibri"/>
          <w:lang w:eastAsia="en-US"/>
        </w:rPr>
      </w:pPr>
      <w:bookmarkStart w:id="64" w:name="_Toc64567845"/>
      <w:r w:rsidRPr="007943A0">
        <w:rPr>
          <w:lang w:eastAsia="en-US"/>
        </w:rPr>
        <w:t>2.5</w:t>
      </w:r>
      <w:r w:rsidRPr="007943A0">
        <w:rPr>
          <w:rFonts w:eastAsia="Calibri"/>
          <w:lang w:eastAsia="en-US"/>
        </w:rPr>
        <w:t>.1. Asetilkolinesteraz Enziminin Aktivite Ölçümünde Kullanılan Çözeltiler</w:t>
      </w:r>
      <w:bookmarkEnd w:id="64"/>
    </w:p>
    <w:p w14:paraId="7D523A13" w14:textId="77777777" w:rsidR="007140E0" w:rsidRPr="007140E0" w:rsidRDefault="007140E0" w:rsidP="007140E0">
      <w:pPr>
        <w:spacing w:line="360" w:lineRule="auto"/>
        <w:rPr>
          <w:lang w:eastAsia="en-US"/>
        </w:rPr>
      </w:pPr>
    </w:p>
    <w:p w14:paraId="63228ABF" w14:textId="77777777" w:rsidR="007943A0" w:rsidRPr="007943A0" w:rsidRDefault="007943A0"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b/>
          <w:color w:val="auto"/>
        </w:rPr>
        <w:t>1.</w:t>
      </w:r>
      <w:r w:rsidRPr="007943A0">
        <w:rPr>
          <w:rFonts w:eastAsia="Times New Roman"/>
          <w:color w:val="auto"/>
        </w:rPr>
        <w:t xml:space="preserve"> 1 M’lık Tris-HCl Tamponunun Hazırlanması: 30.27 g Tris alındı ve 5mM’lık 0.370 g EDTA 200 mL destile suda çözüldü pH metre kullanılarak pH’sı 8’e ayarlandı ve toplam hacim 250 mL’ye destile su ile tamamlandı. </w:t>
      </w:r>
    </w:p>
    <w:p w14:paraId="3F31B1DB" w14:textId="77777777" w:rsidR="007943A0" w:rsidRPr="007943A0" w:rsidRDefault="007943A0"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b/>
          <w:color w:val="auto"/>
        </w:rPr>
        <w:t>2.</w:t>
      </w:r>
      <w:r w:rsidRPr="007943A0">
        <w:rPr>
          <w:rFonts w:eastAsia="Times New Roman"/>
          <w:color w:val="auto"/>
        </w:rPr>
        <w:t xml:space="preserve"> 10mM’lık Asetilkolin İyodat Çözeltisinin Hazırlanması: 0.145 gr asetilkolin İyodat alındı ve 50 mL destile suda çözüldü. </w:t>
      </w:r>
    </w:p>
    <w:p w14:paraId="7080EAAF" w14:textId="77777777" w:rsidR="007943A0" w:rsidRDefault="007943A0"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b/>
          <w:color w:val="auto"/>
        </w:rPr>
        <w:t>3.</w:t>
      </w:r>
      <w:r w:rsidRPr="007943A0">
        <w:rPr>
          <w:rFonts w:eastAsia="Times New Roman"/>
          <w:color w:val="auto"/>
        </w:rPr>
        <w:t xml:space="preserve"> 10 mM’lık DTNB (5,5’-Ditiyo-bis (2-Nitrobenzoik Asit) Çözeltisinin Hazırlanması: 0.01 g DTNB ve 0.5 g sodyum sitrat alındı 50 mL destile suda çözüldü.</w:t>
      </w:r>
    </w:p>
    <w:p w14:paraId="6750CB92" w14:textId="77777777" w:rsidR="0041300A" w:rsidRPr="007943A0" w:rsidRDefault="0041300A"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p>
    <w:p w14:paraId="1CB82A65" w14:textId="77777777" w:rsidR="007943A0" w:rsidRDefault="007943A0" w:rsidP="0041300A">
      <w:pPr>
        <w:pStyle w:val="Balk6"/>
        <w:spacing w:before="0" w:after="0" w:line="240" w:lineRule="auto"/>
        <w:rPr>
          <w:lang w:eastAsia="en-US"/>
        </w:rPr>
      </w:pPr>
      <w:bookmarkStart w:id="65" w:name="_Toc64567846"/>
      <w:r w:rsidRPr="007943A0">
        <w:rPr>
          <w:lang w:eastAsia="en-US"/>
        </w:rPr>
        <w:t>2.5.2. Bütirilkolinesteraz Enziminin Aktivite Ölçümünde Kullanılan Çözeltiler</w:t>
      </w:r>
      <w:bookmarkEnd w:id="65"/>
    </w:p>
    <w:p w14:paraId="05BF2E81" w14:textId="77777777" w:rsidR="0041300A" w:rsidRPr="0041300A" w:rsidRDefault="0041300A" w:rsidP="0041300A">
      <w:pPr>
        <w:spacing w:after="0" w:line="360" w:lineRule="auto"/>
        <w:rPr>
          <w:lang w:eastAsia="en-US"/>
        </w:rPr>
      </w:pPr>
    </w:p>
    <w:p w14:paraId="603F310B" w14:textId="77777777" w:rsidR="007943A0" w:rsidRPr="007943A0" w:rsidRDefault="007943A0"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1. 1 M’lık Tris-HCl Tamponunun Hazırlanması: 30.27 g Tris alındı ve 5mM’lık 0.370 g EDTA 200 mL saf suda çözüldü, pH metre ile pH’sı 8’e ayarlandı ve toplam hacim saf su ile 250 mL’ye tamamlandı.</w:t>
      </w:r>
    </w:p>
    <w:p w14:paraId="7349505B" w14:textId="77777777" w:rsidR="007943A0" w:rsidRPr="007943A0" w:rsidRDefault="007943A0"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2. 5mM’lık Bütirilkolin Kolin İyodat Çözeltisinin Hazırlanması: 0.007 gr bütirilkolin kolin iyodat alınarak 50 mL saf suda çözüldü.</w:t>
      </w:r>
    </w:p>
    <w:p w14:paraId="5E9C9956" w14:textId="77777777" w:rsidR="007943A0" w:rsidRDefault="007943A0"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3. 0.35mM’lık DTNB (5,5’-Ditiyo-bis (2-Nitrobenzoik Asit) Çözeltisinin Hazırlanması: 0.0035 g DTNB alındı 25 mL saf suda çözüldü.</w:t>
      </w:r>
    </w:p>
    <w:p w14:paraId="09175B83" w14:textId="76230320" w:rsidR="00855057" w:rsidRDefault="00855057" w:rsidP="00106504">
      <w:pPr>
        <w:keepNext/>
        <w:keepLines/>
        <w:spacing w:after="0" w:line="240" w:lineRule="auto"/>
        <w:ind w:left="1304" w:hanging="737"/>
        <w:jc w:val="both"/>
        <w:outlineLvl w:val="5"/>
        <w:rPr>
          <w:rFonts w:eastAsia="Times New Roman"/>
          <w:b/>
          <w:color w:val="auto"/>
          <w:lang w:eastAsia="en-US"/>
        </w:rPr>
      </w:pPr>
      <w:bookmarkStart w:id="66" w:name="_Toc64567847"/>
      <w:r>
        <w:rPr>
          <w:rFonts w:eastAsia="Times New Roman"/>
          <w:b/>
          <w:color w:val="auto"/>
          <w:lang w:eastAsia="en-US"/>
        </w:rPr>
        <w:lastRenderedPageBreak/>
        <w:t>2</w:t>
      </w:r>
      <w:r w:rsidRPr="00855057">
        <w:rPr>
          <w:rFonts w:eastAsia="Times New Roman"/>
          <w:b/>
          <w:color w:val="auto"/>
          <w:lang w:eastAsia="en-US"/>
        </w:rPr>
        <w:t>.</w:t>
      </w:r>
      <w:r>
        <w:rPr>
          <w:rFonts w:eastAsia="Times New Roman"/>
          <w:b/>
          <w:color w:val="auto"/>
          <w:lang w:eastAsia="en-US"/>
        </w:rPr>
        <w:t>5</w:t>
      </w:r>
      <w:r w:rsidRPr="00855057">
        <w:rPr>
          <w:rFonts w:eastAsia="Times New Roman"/>
          <w:b/>
          <w:color w:val="auto"/>
          <w:lang w:eastAsia="en-US"/>
        </w:rPr>
        <w:t>.</w:t>
      </w:r>
      <w:r>
        <w:rPr>
          <w:rFonts w:eastAsia="Times New Roman"/>
          <w:b/>
          <w:color w:val="auto"/>
          <w:lang w:eastAsia="en-US"/>
        </w:rPr>
        <w:t>3</w:t>
      </w:r>
      <w:r w:rsidR="00106504">
        <w:rPr>
          <w:rFonts w:eastAsia="Times New Roman"/>
          <w:b/>
          <w:color w:val="auto"/>
          <w:lang w:eastAsia="en-US"/>
        </w:rPr>
        <w:t xml:space="preserve">. </w:t>
      </w:r>
      <w:r>
        <w:rPr>
          <w:rFonts w:eastAsia="Times New Roman"/>
          <w:b/>
          <w:color w:val="auto"/>
          <w:lang w:eastAsia="en-US"/>
        </w:rPr>
        <w:t>Antibakteriyel Aktivite Tayininde Kullanılan Besiyeri ve Bakteri Kültürlerinin Hazırlanması</w:t>
      </w:r>
    </w:p>
    <w:p w14:paraId="1E5DF946" w14:textId="77777777" w:rsidR="0041300A" w:rsidRPr="00855057" w:rsidRDefault="0041300A" w:rsidP="0041300A">
      <w:pPr>
        <w:keepNext/>
        <w:keepLines/>
        <w:spacing w:after="0" w:line="360" w:lineRule="auto"/>
        <w:ind w:left="1191" w:hanging="624"/>
        <w:outlineLvl w:val="5"/>
        <w:rPr>
          <w:rFonts w:eastAsia="Times New Roman"/>
          <w:b/>
          <w:color w:val="auto"/>
          <w:lang w:eastAsia="en-US"/>
        </w:rPr>
      </w:pPr>
    </w:p>
    <w:bookmarkEnd w:id="66"/>
    <w:p w14:paraId="5727576E" w14:textId="77777777" w:rsidR="0041300A" w:rsidRDefault="007943A0"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0.29 g Mueller-Hinton Agar (MHA)tartılarak 100 mL saf su içerisinde eritilip sterilizasyon amacıyla 121 ᵒC’de 15 dakikalığına otoklava konuldu. Sonrasında steril pedri kaplarına aktarıldı. MHA agar üzerine saf bakteri kültürlerinin ekimi yapıldı.  Bakteri kültrülerinin çoğalması amacıyla 37 ᵒC’de 24 saat etüvde inkübe edildi.</w:t>
      </w:r>
    </w:p>
    <w:p w14:paraId="520A852E" w14:textId="1B5205B5" w:rsidR="007943A0" w:rsidRPr="007943A0" w:rsidRDefault="007943A0"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 xml:space="preserve"> </w:t>
      </w:r>
    </w:p>
    <w:p w14:paraId="78A417A4" w14:textId="1FEB7332" w:rsidR="007943A0" w:rsidRDefault="00341D50" w:rsidP="00106504">
      <w:pPr>
        <w:pStyle w:val="balk20"/>
        <w:spacing w:before="0" w:after="0" w:line="240" w:lineRule="auto"/>
        <w:jc w:val="both"/>
        <w:rPr>
          <w:rFonts w:eastAsia="Times New Roman"/>
          <w:lang w:eastAsia="en-US"/>
        </w:rPr>
      </w:pPr>
      <w:bookmarkStart w:id="67" w:name="_Toc64567848"/>
      <w:r>
        <w:rPr>
          <w:rFonts w:eastAsia="Times New Roman"/>
          <w:lang w:eastAsia="en-US"/>
        </w:rPr>
        <w:t xml:space="preserve">2.6. </w:t>
      </w:r>
      <w:r w:rsidR="007943A0" w:rsidRPr="007943A0">
        <w:rPr>
          <w:rFonts w:eastAsia="Times New Roman"/>
          <w:lang w:eastAsia="en-US"/>
        </w:rPr>
        <w:t>Kolinesteraz Enzim Aktivitesi Tayini</w:t>
      </w:r>
      <w:bookmarkEnd w:id="67"/>
    </w:p>
    <w:p w14:paraId="34B1B610" w14:textId="77777777" w:rsidR="0041300A" w:rsidRPr="007943A0" w:rsidRDefault="0041300A" w:rsidP="0041300A">
      <w:pPr>
        <w:pStyle w:val="balk20"/>
        <w:spacing w:before="0" w:after="0" w:line="240" w:lineRule="auto"/>
        <w:rPr>
          <w:rFonts w:eastAsia="Times New Roman"/>
          <w:lang w:eastAsia="en-US"/>
        </w:rPr>
      </w:pPr>
    </w:p>
    <w:p w14:paraId="4A2BD7ED" w14:textId="77777777" w:rsidR="007943A0" w:rsidRDefault="007943A0" w:rsidP="00106504">
      <w:pPr>
        <w:pStyle w:val="Balk6"/>
        <w:spacing w:before="0" w:after="0" w:line="240" w:lineRule="auto"/>
        <w:jc w:val="both"/>
        <w:rPr>
          <w:lang w:eastAsia="en-US"/>
        </w:rPr>
      </w:pPr>
      <w:bookmarkStart w:id="68" w:name="_Toc64567849"/>
      <w:r w:rsidRPr="007943A0">
        <w:rPr>
          <w:lang w:eastAsia="en-US"/>
        </w:rPr>
        <w:t>2.6.1. Asetilkolinesteraz enzim aktivitesi</w:t>
      </w:r>
      <w:bookmarkEnd w:id="68"/>
      <w:r w:rsidRPr="007943A0">
        <w:rPr>
          <w:lang w:eastAsia="en-US"/>
        </w:rPr>
        <w:t xml:space="preserve"> </w:t>
      </w:r>
    </w:p>
    <w:p w14:paraId="20A25E54" w14:textId="77777777" w:rsidR="0041300A" w:rsidRPr="0041300A" w:rsidRDefault="0041300A" w:rsidP="0041300A">
      <w:pPr>
        <w:spacing w:after="0" w:line="360" w:lineRule="auto"/>
        <w:rPr>
          <w:lang w:eastAsia="en-US"/>
        </w:rPr>
      </w:pPr>
    </w:p>
    <w:p w14:paraId="0F0787ED" w14:textId="77777777" w:rsidR="007943A0" w:rsidRPr="007943A0" w:rsidRDefault="007943A0"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(1-metil-4-hidroksi-4-fenil piperidin-3-il) (fenil) metanon ve (1-etil-4-hidroksi-4-fenil piperidin-3-il) (fenil) metanon bileşiklerinin asetilkolinesteraz enzimi üzerindeki etkisinin araştırılması amacıyla öncelikle saf asetilkolinesteraz enzimi hazır olarak temin edildi. Enzim, aktivitesinin korunacağı uygun tampon çözücüde çözülerek partisyonlara ayrılarak buzdolabında uygun şartlarda saklandı.</w:t>
      </w:r>
    </w:p>
    <w:p w14:paraId="2EF646FF" w14:textId="77777777" w:rsidR="007943A0" w:rsidRPr="007943A0" w:rsidRDefault="007943A0"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Enzim aktivitesi yönteminin esası asetilkolinin kolinesterazlarla parçalanması sonucu oluşan tiyokolinin 5,5’ ditiyobis (2-nitrobenzoik asit)le reaksiyona girerek renkli bir ürün oluşturması ve bu ürünün 412 nm’de absorbans göstermesi dayanır. (Ellman vd., 1961). Asetillkolinesteraz enzim aktivitesi ölçümünde DTNB ve asetillkolin iyodür substrat olarak kullanılırlar.</w:t>
      </w:r>
    </w:p>
    <w:p w14:paraId="014CFCF1" w14:textId="68F2CCDF" w:rsidR="007F69F9" w:rsidRDefault="00A33286" w:rsidP="004B0B2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Pr>
          <w:rFonts w:eastAsia="Times New Roman"/>
          <w:color w:val="auto"/>
        </w:rPr>
        <w:t xml:space="preserve">1 mL’lik küvet hacmi için; </w:t>
      </w:r>
      <w:r w:rsidR="007943A0" w:rsidRPr="007943A0">
        <w:rPr>
          <w:rFonts w:eastAsia="Times New Roman"/>
          <w:color w:val="auto"/>
        </w:rPr>
        <w:t>reaksiyon karışımındaki maddeler ve miktarları sırasıyla aşağı</w:t>
      </w:r>
      <w:r w:rsidR="008C080B">
        <w:rPr>
          <w:rFonts w:eastAsia="Times New Roman"/>
          <w:color w:val="auto"/>
        </w:rPr>
        <w:t>daki tablodaki gibi uygulandı.</w:t>
      </w:r>
    </w:p>
    <w:p w14:paraId="45AA7CE0" w14:textId="77777777" w:rsidR="004B0B2E" w:rsidRDefault="004B0B2E" w:rsidP="004B0B2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eastAsia="Times New Roman"/>
          <w:color w:val="auto"/>
        </w:rPr>
      </w:pPr>
    </w:p>
    <w:p w14:paraId="6ECF3593" w14:textId="77777777" w:rsidR="004B0B2E" w:rsidRPr="007943A0" w:rsidRDefault="004B0B2E" w:rsidP="004B0B2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eastAsia="Times New Roman"/>
          <w:color w:val="auto"/>
        </w:rPr>
      </w:pPr>
    </w:p>
    <w:p w14:paraId="2ABEDC70" w14:textId="7133550E" w:rsidR="007943A0" w:rsidRDefault="007943A0"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077" w:hanging="1077"/>
        <w:jc w:val="both"/>
        <w:rPr>
          <w:rFonts w:eastAsia="Times New Roman"/>
          <w:color w:val="auto"/>
        </w:rPr>
      </w:pPr>
      <w:r w:rsidRPr="007943A0">
        <w:rPr>
          <w:rFonts w:eastAsia="Times New Roman"/>
          <w:color w:val="auto"/>
        </w:rPr>
        <w:t>Tablo 2.3. Asetilkolinesteraz enzim aktivit</w:t>
      </w:r>
      <w:r w:rsidR="00A01DB1">
        <w:rPr>
          <w:rFonts w:eastAsia="Times New Roman"/>
          <w:color w:val="auto"/>
        </w:rPr>
        <w:t xml:space="preserve">e tayin yöntemi için kullanılan </w:t>
      </w:r>
      <w:r w:rsidRPr="007943A0">
        <w:rPr>
          <w:rFonts w:eastAsia="Times New Roman"/>
          <w:color w:val="auto"/>
        </w:rPr>
        <w:t>küvet</w:t>
      </w:r>
      <w:r w:rsidR="00E96823">
        <w:rPr>
          <w:rFonts w:eastAsia="Times New Roman"/>
          <w:color w:val="auto"/>
        </w:rPr>
        <w:t xml:space="preserve"> </w:t>
      </w:r>
      <w:r w:rsidRPr="007943A0">
        <w:rPr>
          <w:rFonts w:eastAsia="Times New Roman"/>
          <w:color w:val="auto"/>
        </w:rPr>
        <w:t>içeriği ve miktarları</w:t>
      </w:r>
    </w:p>
    <w:p w14:paraId="38D6FE91" w14:textId="77777777" w:rsidR="007F69F9" w:rsidRPr="007943A0" w:rsidRDefault="007F69F9"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077" w:hanging="1077"/>
        <w:jc w:val="both"/>
        <w:rPr>
          <w:rFonts w:eastAsia="Times New Roman"/>
          <w:color w:val="auto"/>
        </w:rPr>
      </w:pPr>
    </w:p>
    <w:tbl>
      <w:tblPr>
        <w:tblW w:w="7840" w:type="dxa"/>
        <w:jc w:val="center"/>
        <w:tblBorders>
          <w:top w:val="nil"/>
          <w:left w:val="nil"/>
          <w:bottom w:val="nil"/>
          <w:right w:val="nil"/>
        </w:tblBorders>
        <w:tblLook w:val="0000" w:firstRow="0" w:lastRow="0" w:firstColumn="0" w:lastColumn="0" w:noHBand="0" w:noVBand="0"/>
      </w:tblPr>
      <w:tblGrid>
        <w:gridCol w:w="2682"/>
        <w:gridCol w:w="2526"/>
        <w:gridCol w:w="2632"/>
      </w:tblGrid>
      <w:tr w:rsidR="007943A0" w:rsidRPr="007943A0" w14:paraId="571DEAF2" w14:textId="77777777" w:rsidTr="004B0B2E">
        <w:trPr>
          <w:trHeight w:val="53"/>
          <w:jc w:val="center"/>
        </w:trPr>
        <w:tc>
          <w:tcPr>
            <w:tcW w:w="0" w:type="auto"/>
            <w:tcBorders>
              <w:top w:val="double" w:sz="2" w:space="0" w:color="auto"/>
              <w:bottom w:val="double" w:sz="2" w:space="0" w:color="auto"/>
            </w:tcBorders>
          </w:tcPr>
          <w:p w14:paraId="771B708D" w14:textId="5F9B5878"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b/>
                <w:bCs/>
                <w:color w:val="000000"/>
                <w:lang w:val="en-US" w:eastAsia="en-US"/>
              </w:rPr>
              <w:t>Kullanılan Maddeler</w:t>
            </w:r>
          </w:p>
        </w:tc>
        <w:tc>
          <w:tcPr>
            <w:tcW w:w="0" w:type="auto"/>
            <w:tcBorders>
              <w:top w:val="double" w:sz="2" w:space="0" w:color="auto"/>
              <w:bottom w:val="double" w:sz="2" w:space="0" w:color="auto"/>
            </w:tcBorders>
          </w:tcPr>
          <w:p w14:paraId="72B9D671" w14:textId="659DD78C"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b/>
                <w:bCs/>
                <w:color w:val="000000"/>
                <w:lang w:val="en-US" w:eastAsia="en-US"/>
              </w:rPr>
              <w:t>Numune Tüpü (μL)</w:t>
            </w:r>
          </w:p>
        </w:tc>
        <w:tc>
          <w:tcPr>
            <w:tcW w:w="2632" w:type="dxa"/>
            <w:tcBorders>
              <w:top w:val="double" w:sz="2" w:space="0" w:color="auto"/>
              <w:bottom w:val="double" w:sz="2" w:space="0" w:color="auto"/>
            </w:tcBorders>
          </w:tcPr>
          <w:p w14:paraId="5E64ABC1" w14:textId="7362FB89"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b/>
                <w:bCs/>
                <w:color w:val="000000"/>
                <w:lang w:val="en-US" w:eastAsia="en-US"/>
              </w:rPr>
              <w:t>Kontrol tüpü (μL)</w:t>
            </w:r>
          </w:p>
        </w:tc>
      </w:tr>
      <w:tr w:rsidR="007943A0" w:rsidRPr="007943A0" w14:paraId="519DB36B" w14:textId="77777777" w:rsidTr="004B0B2E">
        <w:trPr>
          <w:trHeight w:val="54"/>
          <w:jc w:val="center"/>
        </w:trPr>
        <w:tc>
          <w:tcPr>
            <w:tcW w:w="0" w:type="auto"/>
            <w:tcBorders>
              <w:top w:val="double" w:sz="2" w:space="0" w:color="auto"/>
            </w:tcBorders>
          </w:tcPr>
          <w:p w14:paraId="31CB2BF8" w14:textId="3758A344"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Tris/HCl</w:t>
            </w:r>
          </w:p>
        </w:tc>
        <w:tc>
          <w:tcPr>
            <w:tcW w:w="0" w:type="auto"/>
            <w:tcBorders>
              <w:top w:val="double" w:sz="2" w:space="0" w:color="auto"/>
            </w:tcBorders>
          </w:tcPr>
          <w:p w14:paraId="5A628BB4" w14:textId="5E7C4224"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100</w:t>
            </w:r>
          </w:p>
        </w:tc>
        <w:tc>
          <w:tcPr>
            <w:tcW w:w="2632" w:type="dxa"/>
            <w:tcBorders>
              <w:top w:val="double" w:sz="2" w:space="0" w:color="auto"/>
            </w:tcBorders>
          </w:tcPr>
          <w:p w14:paraId="11966497" w14:textId="60024222"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100</w:t>
            </w:r>
          </w:p>
        </w:tc>
      </w:tr>
      <w:tr w:rsidR="007943A0" w:rsidRPr="007943A0" w14:paraId="32E171B4" w14:textId="77777777" w:rsidTr="004B0B2E">
        <w:trPr>
          <w:trHeight w:val="54"/>
          <w:jc w:val="center"/>
        </w:trPr>
        <w:tc>
          <w:tcPr>
            <w:tcW w:w="0" w:type="auto"/>
          </w:tcPr>
          <w:p w14:paraId="29F9036A" w14:textId="51AFF123"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Saf su</w:t>
            </w:r>
          </w:p>
        </w:tc>
        <w:tc>
          <w:tcPr>
            <w:tcW w:w="0" w:type="auto"/>
          </w:tcPr>
          <w:p w14:paraId="5104B06E" w14:textId="65C29CEF"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780</w:t>
            </w:r>
          </w:p>
        </w:tc>
        <w:tc>
          <w:tcPr>
            <w:tcW w:w="2632" w:type="dxa"/>
          </w:tcPr>
          <w:p w14:paraId="3BF14B45" w14:textId="760B7921"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800</w:t>
            </w:r>
          </w:p>
        </w:tc>
      </w:tr>
      <w:tr w:rsidR="007943A0" w:rsidRPr="007943A0" w14:paraId="2E7B33F6" w14:textId="77777777" w:rsidTr="004B0B2E">
        <w:trPr>
          <w:trHeight w:val="54"/>
          <w:jc w:val="center"/>
        </w:trPr>
        <w:tc>
          <w:tcPr>
            <w:tcW w:w="0" w:type="auto"/>
          </w:tcPr>
          <w:p w14:paraId="0DD3E5DA" w14:textId="3132CDF1"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DTNB</w:t>
            </w:r>
          </w:p>
        </w:tc>
        <w:tc>
          <w:tcPr>
            <w:tcW w:w="0" w:type="auto"/>
          </w:tcPr>
          <w:p w14:paraId="15259F69" w14:textId="05136036"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50</w:t>
            </w:r>
          </w:p>
        </w:tc>
        <w:tc>
          <w:tcPr>
            <w:tcW w:w="2632" w:type="dxa"/>
          </w:tcPr>
          <w:p w14:paraId="5F612FFF" w14:textId="535E99EF"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50</w:t>
            </w:r>
          </w:p>
        </w:tc>
      </w:tr>
      <w:tr w:rsidR="007943A0" w:rsidRPr="007943A0" w14:paraId="6C9B707A" w14:textId="77777777" w:rsidTr="004B0B2E">
        <w:trPr>
          <w:trHeight w:val="54"/>
          <w:jc w:val="center"/>
        </w:trPr>
        <w:tc>
          <w:tcPr>
            <w:tcW w:w="0" w:type="auto"/>
          </w:tcPr>
          <w:p w14:paraId="4785348A" w14:textId="6F444701"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Enzim çözeltisi</w:t>
            </w:r>
          </w:p>
        </w:tc>
        <w:tc>
          <w:tcPr>
            <w:tcW w:w="0" w:type="auto"/>
          </w:tcPr>
          <w:p w14:paraId="5C3D799B" w14:textId="2964E1C2"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20</w:t>
            </w:r>
          </w:p>
        </w:tc>
        <w:tc>
          <w:tcPr>
            <w:tcW w:w="2632" w:type="dxa"/>
          </w:tcPr>
          <w:p w14:paraId="3D6F2998" w14:textId="1E3594A3"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w:t>
            </w:r>
          </w:p>
        </w:tc>
      </w:tr>
      <w:tr w:rsidR="007943A0" w:rsidRPr="007943A0" w14:paraId="77375374" w14:textId="77777777" w:rsidTr="004B0B2E">
        <w:trPr>
          <w:trHeight w:val="53"/>
          <w:jc w:val="center"/>
        </w:trPr>
        <w:tc>
          <w:tcPr>
            <w:tcW w:w="0" w:type="auto"/>
            <w:tcBorders>
              <w:bottom w:val="double" w:sz="2" w:space="0" w:color="auto"/>
            </w:tcBorders>
          </w:tcPr>
          <w:p w14:paraId="2236E45E" w14:textId="0893FDCC"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Asetilkoliniyodür</w:t>
            </w:r>
          </w:p>
        </w:tc>
        <w:tc>
          <w:tcPr>
            <w:tcW w:w="0" w:type="auto"/>
            <w:tcBorders>
              <w:bottom w:val="double" w:sz="2" w:space="0" w:color="auto"/>
            </w:tcBorders>
          </w:tcPr>
          <w:p w14:paraId="2EE3C14B" w14:textId="307C20A6"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50</w:t>
            </w:r>
          </w:p>
        </w:tc>
        <w:tc>
          <w:tcPr>
            <w:tcW w:w="2632" w:type="dxa"/>
            <w:tcBorders>
              <w:bottom w:val="double" w:sz="2" w:space="0" w:color="auto"/>
            </w:tcBorders>
          </w:tcPr>
          <w:p w14:paraId="727B173C" w14:textId="77777777" w:rsidR="007943A0" w:rsidRPr="007943A0" w:rsidRDefault="007943A0" w:rsidP="00A01DB1">
            <w:pPr>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50</w:t>
            </w:r>
          </w:p>
        </w:tc>
      </w:tr>
    </w:tbl>
    <w:p w14:paraId="53A6B1E9" w14:textId="77777777" w:rsidR="007943A0" w:rsidRDefault="007943A0" w:rsidP="0041300A">
      <w:pPr>
        <w:pStyle w:val="Balk6"/>
        <w:spacing w:before="0" w:after="0" w:line="240" w:lineRule="auto"/>
        <w:rPr>
          <w:lang w:eastAsia="en-US"/>
        </w:rPr>
      </w:pPr>
      <w:bookmarkStart w:id="69" w:name="_Toc64567850"/>
      <w:r w:rsidRPr="007943A0">
        <w:rPr>
          <w:lang w:eastAsia="en-US"/>
        </w:rPr>
        <w:lastRenderedPageBreak/>
        <w:t>2.6.2. Bütirilkolinesteraz Enzim Aktivitesi</w:t>
      </w:r>
      <w:bookmarkEnd w:id="69"/>
      <w:r w:rsidRPr="007943A0">
        <w:rPr>
          <w:lang w:eastAsia="en-US"/>
        </w:rPr>
        <w:t xml:space="preserve"> </w:t>
      </w:r>
    </w:p>
    <w:p w14:paraId="01A27A7A" w14:textId="77777777" w:rsidR="0041300A" w:rsidRPr="0041300A" w:rsidRDefault="0041300A" w:rsidP="0041300A">
      <w:pPr>
        <w:spacing w:after="0" w:line="360" w:lineRule="auto"/>
        <w:rPr>
          <w:lang w:eastAsia="en-US"/>
        </w:rPr>
      </w:pPr>
    </w:p>
    <w:p w14:paraId="3D04135B" w14:textId="77777777" w:rsidR="007943A0" w:rsidRPr="007943A0" w:rsidRDefault="007943A0"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(1-etil-4-hidroksi-4-fenil piperidin-3-il) (fenil) metanon ve (1-metil-4-hidroksi-4-fenil piperidin-3-il) (fenil) metanon bileşiklerinin bütirilkolinesteraz enzimi üzerindeki etkisinin araştırılması amacıyla öncelikle saf asetilkolinesteraz enzimi hazır olarak temin edildi. Enzim, aktivitesinin korunacağı uygun tampon çözücüde çözülerek partisyonlara ayrılarak buzdolabında uygun şartlarda saklandı.</w:t>
      </w:r>
    </w:p>
    <w:p w14:paraId="6067707C" w14:textId="77777777" w:rsidR="007943A0" w:rsidRPr="007943A0" w:rsidRDefault="007943A0"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 xml:space="preserve">Kolinesterazların katalizi ile  asetilkolinin tiyokolin ve asetata parçalanma reaksiyonu sonucu açığa çıkan ürünün 412 nm’ de absorbsiyon göstermesiyle enzim aktivitesi ölçülmüş olur (Ellman vd., 1961). </w:t>
      </w:r>
    </w:p>
    <w:p w14:paraId="40924817" w14:textId="0CA55DDE" w:rsidR="007943A0" w:rsidRDefault="007943A0" w:rsidP="008C08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Bütirilkolin Esteraz enzim aktivitesi ölçümünde DTNB ve bütirilkolin iyodür substrat olarak kullanıldı. 1 mL’lik küvet hacmi için; reaksiyon karışımındaki maddeler ve miktarları sırasıyla aşağ</w:t>
      </w:r>
      <w:r w:rsidR="008C080B">
        <w:rPr>
          <w:rFonts w:eastAsia="Times New Roman"/>
          <w:color w:val="auto"/>
        </w:rPr>
        <w:t>ıdaki tablodaki gibi uygulandı.</w:t>
      </w:r>
    </w:p>
    <w:p w14:paraId="3F0ED61B" w14:textId="77777777" w:rsidR="008C080B" w:rsidRDefault="008C080B" w:rsidP="008C08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eastAsia="Times New Roman"/>
          <w:color w:val="auto"/>
        </w:rPr>
      </w:pPr>
    </w:p>
    <w:p w14:paraId="27716D6F" w14:textId="77777777" w:rsidR="008C080B" w:rsidRPr="007943A0" w:rsidRDefault="008C080B" w:rsidP="008C08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eastAsia="Times New Roman"/>
          <w:color w:val="auto"/>
        </w:rPr>
      </w:pPr>
    </w:p>
    <w:p w14:paraId="46E4813B" w14:textId="0134E097" w:rsidR="007943A0" w:rsidRDefault="00A33286" w:rsidP="00B149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077" w:hanging="1077"/>
        <w:jc w:val="both"/>
        <w:rPr>
          <w:rFonts w:eastAsia="Times New Roman"/>
          <w:color w:val="auto"/>
        </w:rPr>
      </w:pPr>
      <w:r>
        <w:rPr>
          <w:rFonts w:eastAsia="Times New Roman"/>
          <w:color w:val="auto"/>
        </w:rPr>
        <w:t xml:space="preserve">Tablo 2.4. </w:t>
      </w:r>
      <w:r w:rsidR="007943A0" w:rsidRPr="007943A0">
        <w:rPr>
          <w:rFonts w:eastAsia="Times New Roman"/>
          <w:color w:val="auto"/>
        </w:rPr>
        <w:t xml:space="preserve">Bütirilkolinesteraz enzim aktivitesi tayin yöntemi </w:t>
      </w:r>
      <w:r>
        <w:rPr>
          <w:rFonts w:eastAsia="Times New Roman"/>
          <w:color w:val="auto"/>
        </w:rPr>
        <w:t xml:space="preserve">için kullanılacak küvet içeriği </w:t>
      </w:r>
      <w:r w:rsidR="007943A0" w:rsidRPr="007943A0">
        <w:rPr>
          <w:rFonts w:eastAsia="Times New Roman"/>
          <w:color w:val="auto"/>
        </w:rPr>
        <w:t>ve miktarları</w:t>
      </w:r>
    </w:p>
    <w:p w14:paraId="0285E6FD" w14:textId="77777777" w:rsidR="007F69F9" w:rsidRPr="007943A0" w:rsidRDefault="007F69F9" w:rsidP="00B149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077" w:hanging="1077"/>
        <w:jc w:val="both"/>
        <w:rPr>
          <w:rFonts w:eastAsia="Times New Roman"/>
          <w:color w:val="auto"/>
        </w:rPr>
      </w:pPr>
    </w:p>
    <w:tbl>
      <w:tblPr>
        <w:tblW w:w="8827" w:type="dxa"/>
        <w:tblInd w:w="108" w:type="dxa"/>
        <w:tblBorders>
          <w:top w:val="nil"/>
          <w:left w:val="nil"/>
          <w:bottom w:val="nil"/>
          <w:right w:val="nil"/>
        </w:tblBorders>
        <w:tblLook w:val="0000" w:firstRow="0" w:lastRow="0" w:firstColumn="0" w:lastColumn="0" w:noHBand="0" w:noVBand="0"/>
      </w:tblPr>
      <w:tblGrid>
        <w:gridCol w:w="3398"/>
        <w:gridCol w:w="2807"/>
        <w:gridCol w:w="2622"/>
      </w:tblGrid>
      <w:tr w:rsidR="007943A0" w:rsidRPr="007943A0" w14:paraId="3C29ABB9" w14:textId="77777777" w:rsidTr="00A01DB1">
        <w:trPr>
          <w:trHeight w:val="101"/>
        </w:trPr>
        <w:tc>
          <w:tcPr>
            <w:tcW w:w="0" w:type="auto"/>
            <w:tcBorders>
              <w:top w:val="double" w:sz="2" w:space="0" w:color="auto"/>
              <w:bottom w:val="double" w:sz="2" w:space="0" w:color="auto"/>
            </w:tcBorders>
          </w:tcPr>
          <w:p w14:paraId="473E9D55" w14:textId="04708B0E"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b/>
                <w:bCs/>
                <w:color w:val="000000"/>
                <w:lang w:val="en-US" w:eastAsia="en-US"/>
              </w:rPr>
              <w:t>Kullanılan Maddeler</w:t>
            </w:r>
          </w:p>
        </w:tc>
        <w:tc>
          <w:tcPr>
            <w:tcW w:w="0" w:type="auto"/>
            <w:tcBorders>
              <w:top w:val="double" w:sz="2" w:space="0" w:color="auto"/>
              <w:bottom w:val="double" w:sz="2" w:space="0" w:color="auto"/>
            </w:tcBorders>
          </w:tcPr>
          <w:p w14:paraId="4826AB1B" w14:textId="6C933F7F"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b/>
                <w:bCs/>
                <w:color w:val="000000"/>
                <w:lang w:val="en-US" w:eastAsia="en-US"/>
              </w:rPr>
              <w:t>Numune Tüpü (μL)</w:t>
            </w:r>
          </w:p>
        </w:tc>
        <w:tc>
          <w:tcPr>
            <w:tcW w:w="0" w:type="auto"/>
            <w:tcBorders>
              <w:top w:val="double" w:sz="2" w:space="0" w:color="auto"/>
              <w:bottom w:val="double" w:sz="2" w:space="0" w:color="auto"/>
            </w:tcBorders>
          </w:tcPr>
          <w:p w14:paraId="0E7F13DD" w14:textId="67F7D9CE"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b/>
                <w:bCs/>
                <w:color w:val="000000"/>
                <w:lang w:val="en-US" w:eastAsia="en-US"/>
              </w:rPr>
              <w:t>Kontrol tüpü (μL)</w:t>
            </w:r>
          </w:p>
        </w:tc>
      </w:tr>
      <w:tr w:rsidR="007943A0" w:rsidRPr="007943A0" w14:paraId="484838B1" w14:textId="77777777" w:rsidTr="00A01DB1">
        <w:trPr>
          <w:trHeight w:val="103"/>
        </w:trPr>
        <w:tc>
          <w:tcPr>
            <w:tcW w:w="0" w:type="auto"/>
            <w:tcBorders>
              <w:top w:val="double" w:sz="2" w:space="0" w:color="auto"/>
            </w:tcBorders>
          </w:tcPr>
          <w:p w14:paraId="25ADB904" w14:textId="77777777"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Sodyum fosfat(NaH</w:t>
            </w:r>
            <w:r w:rsidRPr="007943A0">
              <w:rPr>
                <w:rFonts w:eastAsia="Calibri"/>
                <w:color w:val="000000"/>
                <w:vertAlign w:val="subscript"/>
                <w:lang w:val="en-US" w:eastAsia="en-US"/>
              </w:rPr>
              <w:t>2</w:t>
            </w:r>
            <w:r w:rsidRPr="007943A0">
              <w:rPr>
                <w:rFonts w:eastAsia="Calibri"/>
                <w:color w:val="000000"/>
                <w:lang w:val="en-US" w:eastAsia="en-US"/>
              </w:rPr>
              <w:t>PO</w:t>
            </w:r>
            <w:r w:rsidRPr="007943A0">
              <w:rPr>
                <w:rFonts w:eastAsia="Calibri"/>
                <w:color w:val="000000"/>
                <w:vertAlign w:val="subscript"/>
                <w:lang w:val="en-US" w:eastAsia="en-US"/>
              </w:rPr>
              <w:t>4</w:t>
            </w:r>
            <w:r w:rsidRPr="007943A0">
              <w:rPr>
                <w:rFonts w:eastAsia="Calibri"/>
                <w:color w:val="000000"/>
                <w:lang w:val="en-US" w:eastAsia="en-US"/>
              </w:rPr>
              <w:t>)</w:t>
            </w:r>
          </w:p>
        </w:tc>
        <w:tc>
          <w:tcPr>
            <w:tcW w:w="0" w:type="auto"/>
            <w:tcBorders>
              <w:top w:val="double" w:sz="2" w:space="0" w:color="auto"/>
            </w:tcBorders>
          </w:tcPr>
          <w:p w14:paraId="149F9C02" w14:textId="2A6B989E"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100</w:t>
            </w:r>
          </w:p>
        </w:tc>
        <w:tc>
          <w:tcPr>
            <w:tcW w:w="0" w:type="auto"/>
            <w:tcBorders>
              <w:top w:val="double" w:sz="2" w:space="0" w:color="auto"/>
            </w:tcBorders>
          </w:tcPr>
          <w:p w14:paraId="4A30AC21" w14:textId="7CCAA4A2"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100</w:t>
            </w:r>
          </w:p>
        </w:tc>
      </w:tr>
      <w:tr w:rsidR="007943A0" w:rsidRPr="007943A0" w14:paraId="41D34E3D" w14:textId="77777777" w:rsidTr="00A01DB1">
        <w:trPr>
          <w:trHeight w:val="103"/>
        </w:trPr>
        <w:tc>
          <w:tcPr>
            <w:tcW w:w="0" w:type="auto"/>
          </w:tcPr>
          <w:p w14:paraId="15B3BBD0" w14:textId="051AE6BF"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Saf su</w:t>
            </w:r>
          </w:p>
        </w:tc>
        <w:tc>
          <w:tcPr>
            <w:tcW w:w="0" w:type="auto"/>
          </w:tcPr>
          <w:p w14:paraId="2B38E86A" w14:textId="7412E5A8"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780</w:t>
            </w:r>
          </w:p>
        </w:tc>
        <w:tc>
          <w:tcPr>
            <w:tcW w:w="0" w:type="auto"/>
          </w:tcPr>
          <w:p w14:paraId="4138F9C8" w14:textId="140147AF"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800</w:t>
            </w:r>
          </w:p>
        </w:tc>
      </w:tr>
      <w:tr w:rsidR="007943A0" w:rsidRPr="007943A0" w14:paraId="4B817D97" w14:textId="77777777" w:rsidTr="00A01DB1">
        <w:trPr>
          <w:trHeight w:val="103"/>
        </w:trPr>
        <w:tc>
          <w:tcPr>
            <w:tcW w:w="0" w:type="auto"/>
          </w:tcPr>
          <w:p w14:paraId="626D592B" w14:textId="1027BC8D"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DTNB</w:t>
            </w:r>
          </w:p>
        </w:tc>
        <w:tc>
          <w:tcPr>
            <w:tcW w:w="0" w:type="auto"/>
          </w:tcPr>
          <w:p w14:paraId="1802ACC0" w14:textId="5F7914A2"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50</w:t>
            </w:r>
          </w:p>
        </w:tc>
        <w:tc>
          <w:tcPr>
            <w:tcW w:w="0" w:type="auto"/>
          </w:tcPr>
          <w:p w14:paraId="39AA0B55" w14:textId="43197985"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50</w:t>
            </w:r>
          </w:p>
        </w:tc>
      </w:tr>
      <w:tr w:rsidR="007943A0" w:rsidRPr="007943A0" w14:paraId="650DAD19" w14:textId="77777777" w:rsidTr="00A01DB1">
        <w:trPr>
          <w:trHeight w:val="103"/>
        </w:trPr>
        <w:tc>
          <w:tcPr>
            <w:tcW w:w="0" w:type="auto"/>
          </w:tcPr>
          <w:p w14:paraId="41BBEF29" w14:textId="4357C805"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Enzim çözeltisi</w:t>
            </w:r>
          </w:p>
        </w:tc>
        <w:tc>
          <w:tcPr>
            <w:tcW w:w="0" w:type="auto"/>
          </w:tcPr>
          <w:p w14:paraId="61D2C18C" w14:textId="19A14674"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20</w:t>
            </w:r>
          </w:p>
        </w:tc>
        <w:tc>
          <w:tcPr>
            <w:tcW w:w="0" w:type="auto"/>
          </w:tcPr>
          <w:p w14:paraId="6D5806E7" w14:textId="5B18936D"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w:t>
            </w:r>
          </w:p>
        </w:tc>
      </w:tr>
      <w:tr w:rsidR="007943A0" w:rsidRPr="007943A0" w14:paraId="74487284" w14:textId="77777777" w:rsidTr="00A01DB1">
        <w:trPr>
          <w:trHeight w:val="103"/>
        </w:trPr>
        <w:tc>
          <w:tcPr>
            <w:tcW w:w="0" w:type="auto"/>
            <w:tcBorders>
              <w:bottom w:val="double" w:sz="2" w:space="0" w:color="auto"/>
            </w:tcBorders>
          </w:tcPr>
          <w:p w14:paraId="58B6888C" w14:textId="58DC9AC8"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Bütirilkoliniyodür</w:t>
            </w:r>
          </w:p>
        </w:tc>
        <w:tc>
          <w:tcPr>
            <w:tcW w:w="0" w:type="auto"/>
            <w:tcBorders>
              <w:bottom w:val="double" w:sz="2" w:space="0" w:color="auto"/>
            </w:tcBorders>
          </w:tcPr>
          <w:p w14:paraId="6DA15559" w14:textId="222AD0DC" w:rsidR="007943A0" w:rsidRPr="007943A0" w:rsidRDefault="007943A0" w:rsidP="00A01DB1">
            <w:pPr>
              <w:widowControl w:val="0"/>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50</w:t>
            </w:r>
          </w:p>
        </w:tc>
        <w:tc>
          <w:tcPr>
            <w:tcW w:w="0" w:type="auto"/>
            <w:tcBorders>
              <w:bottom w:val="double" w:sz="2" w:space="0" w:color="auto"/>
            </w:tcBorders>
          </w:tcPr>
          <w:p w14:paraId="61542626" w14:textId="77777777" w:rsidR="007943A0" w:rsidRPr="007943A0" w:rsidRDefault="007943A0" w:rsidP="00A01DB1">
            <w:pPr>
              <w:autoSpaceDE w:val="0"/>
              <w:autoSpaceDN w:val="0"/>
              <w:adjustRightInd w:val="0"/>
              <w:spacing w:after="0" w:line="360" w:lineRule="auto"/>
              <w:jc w:val="center"/>
              <w:rPr>
                <w:rFonts w:eastAsia="Calibri"/>
                <w:color w:val="000000"/>
                <w:lang w:val="en-US" w:eastAsia="en-US"/>
              </w:rPr>
            </w:pPr>
            <w:r w:rsidRPr="007943A0">
              <w:rPr>
                <w:rFonts w:eastAsia="Calibri"/>
                <w:color w:val="000000"/>
                <w:lang w:val="en-US" w:eastAsia="en-US"/>
              </w:rPr>
              <w:t>50</w:t>
            </w:r>
          </w:p>
        </w:tc>
      </w:tr>
    </w:tbl>
    <w:p w14:paraId="7274ADF2" w14:textId="77777777" w:rsidR="00771668" w:rsidRDefault="00771668" w:rsidP="007F69F9">
      <w:pPr>
        <w:keepNext/>
        <w:keepLines/>
        <w:spacing w:after="0" w:line="240" w:lineRule="auto"/>
        <w:outlineLvl w:val="1"/>
        <w:rPr>
          <w:rFonts w:eastAsia="Times New Roman"/>
          <w:color w:val="auto"/>
        </w:rPr>
      </w:pPr>
    </w:p>
    <w:p w14:paraId="559A25F1" w14:textId="77777777" w:rsidR="00771668" w:rsidRDefault="00771668" w:rsidP="007F69F9">
      <w:pPr>
        <w:keepNext/>
        <w:keepLines/>
        <w:spacing w:after="0" w:line="240" w:lineRule="auto"/>
        <w:outlineLvl w:val="1"/>
        <w:rPr>
          <w:rFonts w:eastAsia="Times New Roman"/>
          <w:color w:val="auto"/>
        </w:rPr>
      </w:pPr>
    </w:p>
    <w:p w14:paraId="15AE6FA9" w14:textId="77777777" w:rsidR="00771668" w:rsidRPr="007943A0" w:rsidRDefault="00771668" w:rsidP="007F69F9">
      <w:pPr>
        <w:keepNext/>
        <w:keepLines/>
        <w:spacing w:after="0" w:line="240" w:lineRule="auto"/>
        <w:outlineLvl w:val="1"/>
        <w:rPr>
          <w:rFonts w:eastAsia="Times New Roman"/>
          <w:color w:val="auto"/>
        </w:rPr>
      </w:pPr>
    </w:p>
    <w:p w14:paraId="2B3E1447" w14:textId="77777777" w:rsidR="007943A0" w:rsidRDefault="007943A0" w:rsidP="0041300A">
      <w:pPr>
        <w:pStyle w:val="balk20"/>
        <w:spacing w:before="0" w:after="0" w:line="240" w:lineRule="auto"/>
        <w:rPr>
          <w:rFonts w:eastAsia="Times New Roman"/>
          <w:lang w:eastAsia="en-US"/>
        </w:rPr>
      </w:pPr>
      <w:bookmarkStart w:id="70" w:name="_Toc64567851"/>
      <w:r w:rsidRPr="007943A0">
        <w:rPr>
          <w:rFonts w:eastAsia="Times New Roman"/>
          <w:lang w:eastAsia="en-US"/>
        </w:rPr>
        <w:t>2.7. Kolinesteraz Enzimleri Üzerinde Yapılan Kinetik Çalışmalar</w:t>
      </w:r>
      <w:bookmarkEnd w:id="70"/>
    </w:p>
    <w:p w14:paraId="51575685" w14:textId="77777777" w:rsidR="0041300A" w:rsidRPr="007943A0" w:rsidRDefault="0041300A" w:rsidP="0041300A">
      <w:pPr>
        <w:pStyle w:val="balk20"/>
        <w:spacing w:before="0" w:after="0" w:line="240" w:lineRule="auto"/>
        <w:rPr>
          <w:rFonts w:eastAsia="Times New Roman"/>
          <w:lang w:eastAsia="en-US"/>
        </w:rPr>
      </w:pPr>
    </w:p>
    <w:p w14:paraId="079CA6E3" w14:textId="77777777" w:rsidR="007943A0" w:rsidRDefault="007943A0" w:rsidP="0041300A">
      <w:pPr>
        <w:pStyle w:val="Balk6"/>
        <w:spacing w:before="0" w:after="0" w:line="240" w:lineRule="auto"/>
        <w:rPr>
          <w:lang w:eastAsia="en-US"/>
        </w:rPr>
      </w:pPr>
      <w:bookmarkStart w:id="71" w:name="_Toc64567852"/>
      <w:r w:rsidRPr="007943A0">
        <w:rPr>
          <w:lang w:eastAsia="en-US"/>
        </w:rPr>
        <w:t>2.7.1. IC</w:t>
      </w:r>
      <w:r w:rsidRPr="007943A0">
        <w:rPr>
          <w:vertAlign w:val="subscript"/>
          <w:lang w:eastAsia="en-US"/>
        </w:rPr>
        <w:t xml:space="preserve">50 </w:t>
      </w:r>
      <w:r w:rsidRPr="007943A0">
        <w:rPr>
          <w:lang w:eastAsia="en-US"/>
        </w:rPr>
        <w:t>Değerlerinin Bulunması ile İlgili Çalışmalar</w:t>
      </w:r>
      <w:bookmarkEnd w:id="71"/>
    </w:p>
    <w:p w14:paraId="3C24DB87" w14:textId="77777777" w:rsidR="0041300A" w:rsidRPr="0041300A" w:rsidRDefault="0041300A" w:rsidP="0041300A">
      <w:pPr>
        <w:spacing w:after="0" w:line="360" w:lineRule="auto"/>
        <w:rPr>
          <w:lang w:eastAsia="en-US"/>
        </w:rPr>
      </w:pPr>
    </w:p>
    <w:p w14:paraId="23759C86" w14:textId="7202945F" w:rsidR="00CC0A8E" w:rsidRDefault="007943A0" w:rsidP="00CC0A8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 xml:space="preserve">Her iki enzim içinde ayrı ayrı Tablo 2.3. ve 2.4.’deki gibi reaksiyon karışımları ayarlandıktan sonra 1 dakikada bir absorbans değeri okunarak ve 5 dakika sonunda 25°C’de 412 nm’de son absorbans değeri okunadu. Başlangıç ve son okunan değerler arasındaki fark kaydedildi. Bu işlemler her enzim ve her madde için 5 farklı inhibitör </w:t>
      </w:r>
      <w:r w:rsidRPr="007943A0">
        <w:rPr>
          <w:rFonts w:eastAsia="Times New Roman"/>
          <w:color w:val="auto"/>
        </w:rPr>
        <w:lastRenderedPageBreak/>
        <w:t>konsantrasyonu tekrarlandı. İnhibisyon etkisi gösteren her molekül için aktivite (%)-[I] grafiği çizilerek IC</w:t>
      </w:r>
      <w:r w:rsidRPr="007943A0">
        <w:rPr>
          <w:rFonts w:eastAsia="Times New Roman"/>
          <w:color w:val="auto"/>
          <w:vertAlign w:val="subscript"/>
        </w:rPr>
        <w:t>50</w:t>
      </w:r>
      <w:r w:rsidRPr="007943A0">
        <w:rPr>
          <w:rFonts w:eastAsia="Times New Roman"/>
          <w:color w:val="auto"/>
        </w:rPr>
        <w:t xml:space="preserve"> değerleri hesaplandı (Ozturk Sarikaya 2015).</w:t>
      </w:r>
    </w:p>
    <w:p w14:paraId="511906BB" w14:textId="77777777" w:rsidR="003838E8" w:rsidRDefault="003838E8" w:rsidP="00CC0A8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p>
    <w:p w14:paraId="2102F8D8" w14:textId="004C0CD7" w:rsidR="00855057" w:rsidRDefault="00855057" w:rsidP="00106504">
      <w:pPr>
        <w:keepNext/>
        <w:keepLines/>
        <w:spacing w:after="0" w:line="240" w:lineRule="auto"/>
        <w:ind w:left="1196" w:hanging="629"/>
        <w:jc w:val="both"/>
        <w:outlineLvl w:val="5"/>
        <w:rPr>
          <w:rFonts w:eastAsia="Times New Roman"/>
          <w:b/>
          <w:color w:val="auto"/>
          <w:lang w:eastAsia="en-US"/>
        </w:rPr>
      </w:pPr>
      <w:r>
        <w:rPr>
          <w:rFonts w:eastAsia="Times New Roman"/>
          <w:b/>
          <w:color w:val="auto"/>
          <w:lang w:eastAsia="en-US"/>
        </w:rPr>
        <w:t>2</w:t>
      </w:r>
      <w:r w:rsidRPr="00855057">
        <w:rPr>
          <w:rFonts w:eastAsia="Times New Roman"/>
          <w:b/>
          <w:color w:val="auto"/>
          <w:lang w:eastAsia="en-US"/>
        </w:rPr>
        <w:t>.</w:t>
      </w:r>
      <w:r>
        <w:rPr>
          <w:rFonts w:eastAsia="Times New Roman"/>
          <w:b/>
          <w:color w:val="auto"/>
          <w:lang w:eastAsia="en-US"/>
        </w:rPr>
        <w:t>7</w:t>
      </w:r>
      <w:r w:rsidRPr="00855057">
        <w:rPr>
          <w:rFonts w:eastAsia="Times New Roman"/>
          <w:b/>
          <w:color w:val="auto"/>
          <w:lang w:eastAsia="en-US"/>
        </w:rPr>
        <w:t>.</w:t>
      </w:r>
      <w:r>
        <w:rPr>
          <w:rFonts w:eastAsia="Times New Roman"/>
          <w:b/>
          <w:color w:val="auto"/>
          <w:lang w:eastAsia="en-US"/>
        </w:rPr>
        <w:t>2</w:t>
      </w:r>
      <w:r w:rsidRPr="00855057">
        <w:rPr>
          <w:rFonts w:eastAsia="Times New Roman"/>
          <w:b/>
          <w:color w:val="auto"/>
          <w:lang w:eastAsia="en-US"/>
        </w:rPr>
        <w:t>. K</w:t>
      </w:r>
      <w:r w:rsidRPr="00855057">
        <w:rPr>
          <w:rFonts w:eastAsia="Times New Roman"/>
          <w:b/>
          <w:color w:val="auto"/>
          <w:vertAlign w:val="subscript"/>
          <w:lang w:eastAsia="en-US"/>
        </w:rPr>
        <w:t>i</w:t>
      </w:r>
      <w:r w:rsidRPr="00855057">
        <w:rPr>
          <w:rFonts w:eastAsia="Times New Roman"/>
          <w:b/>
          <w:color w:val="auto"/>
          <w:lang w:eastAsia="en-US"/>
        </w:rPr>
        <w:t xml:space="preserve"> Değerlerinin Bulunması ve İnhibisyon Türünün Belirlenmesi ile İlgili Çalışmalar</w:t>
      </w:r>
    </w:p>
    <w:p w14:paraId="20C16250" w14:textId="77777777" w:rsidR="0041300A" w:rsidRPr="00855057" w:rsidRDefault="0041300A" w:rsidP="0041300A">
      <w:pPr>
        <w:keepNext/>
        <w:keepLines/>
        <w:spacing w:after="0" w:line="360" w:lineRule="auto"/>
        <w:ind w:left="1191" w:hanging="624"/>
        <w:outlineLvl w:val="5"/>
        <w:rPr>
          <w:rFonts w:eastAsia="Times New Roman"/>
          <w:b/>
          <w:color w:val="auto"/>
          <w:lang w:eastAsia="en-US"/>
        </w:rPr>
      </w:pPr>
    </w:p>
    <w:p w14:paraId="0A9DBB61" w14:textId="2345E914" w:rsidR="007943A0" w:rsidRDefault="007943A0"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r w:rsidRPr="007943A0">
        <w:rPr>
          <w:rFonts w:eastAsia="Times New Roman"/>
          <w:color w:val="auto"/>
        </w:rPr>
        <w:t>Piperidin türevi bileşiklerin ki değerlerini belirlemek amacıyla en az 5 değişik substrat ve 3 farklı inhibitör konsantrasyonu kullanılarak optimum şartlarda aktivite ölçümü yapıldı. Her inhibitör için ayrı ayrı Lineweaver-Burk g</w:t>
      </w:r>
      <w:r w:rsidR="00341D50">
        <w:rPr>
          <w:rFonts w:eastAsia="Times New Roman"/>
          <w:color w:val="auto"/>
        </w:rPr>
        <w:t xml:space="preserve">rafiği çizilerek, grafikten ki </w:t>
      </w:r>
      <w:r w:rsidRPr="007943A0">
        <w:rPr>
          <w:rFonts w:eastAsia="Times New Roman"/>
          <w:color w:val="auto"/>
        </w:rPr>
        <w:t>değerleri hesaplandı. Her madde için ayrı ayrı inhibisyon türleri belirlendi. Sonuçlar literatürlerle karşılaştırılarak yorumlandı (Ozturk Sarikaya 2015).</w:t>
      </w:r>
    </w:p>
    <w:p w14:paraId="572D65EF" w14:textId="77777777" w:rsidR="0041300A" w:rsidRPr="007943A0" w:rsidRDefault="0041300A"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pPr>
    </w:p>
    <w:p w14:paraId="602A3B39" w14:textId="77777777" w:rsidR="007943A0" w:rsidRDefault="007943A0" w:rsidP="00106504">
      <w:pPr>
        <w:pStyle w:val="balk20"/>
        <w:spacing w:before="0" w:after="0" w:line="240" w:lineRule="auto"/>
        <w:jc w:val="both"/>
        <w:rPr>
          <w:rFonts w:eastAsia="Times New Roman"/>
          <w:lang w:eastAsia="en-US"/>
        </w:rPr>
      </w:pPr>
      <w:bookmarkStart w:id="72" w:name="_Toc64567854"/>
      <w:r w:rsidRPr="007943A0">
        <w:rPr>
          <w:rFonts w:eastAsia="Times New Roman"/>
          <w:lang w:eastAsia="en-US"/>
        </w:rPr>
        <w:t>2.8. Antibakteriyel Aktivite Tayin Yöntemi</w:t>
      </w:r>
      <w:bookmarkEnd w:id="72"/>
    </w:p>
    <w:p w14:paraId="15DB873E" w14:textId="77777777" w:rsidR="0041300A" w:rsidRPr="007943A0" w:rsidRDefault="0041300A" w:rsidP="00106504">
      <w:pPr>
        <w:pStyle w:val="balk20"/>
        <w:spacing w:before="0" w:after="0" w:line="240" w:lineRule="auto"/>
        <w:jc w:val="both"/>
        <w:rPr>
          <w:rFonts w:eastAsia="Times New Roman"/>
          <w:lang w:eastAsia="en-US"/>
        </w:rPr>
      </w:pPr>
    </w:p>
    <w:p w14:paraId="4F2EE262" w14:textId="77777777" w:rsidR="007943A0" w:rsidRDefault="007943A0" w:rsidP="00106504">
      <w:pPr>
        <w:pStyle w:val="Balk6"/>
        <w:spacing w:before="0" w:after="0" w:line="240" w:lineRule="auto"/>
        <w:jc w:val="both"/>
        <w:rPr>
          <w:lang w:eastAsia="en-US"/>
        </w:rPr>
      </w:pPr>
      <w:bookmarkStart w:id="73" w:name="_Toc64567855"/>
      <w:r w:rsidRPr="007943A0">
        <w:rPr>
          <w:lang w:eastAsia="en-US"/>
        </w:rPr>
        <w:t>2.8.1. Disk Difüzyon Yöntemi</w:t>
      </w:r>
      <w:bookmarkEnd w:id="73"/>
    </w:p>
    <w:p w14:paraId="7C182991" w14:textId="77777777" w:rsidR="0041300A" w:rsidRPr="0041300A" w:rsidRDefault="0041300A" w:rsidP="0041300A">
      <w:pPr>
        <w:spacing w:after="0" w:line="360" w:lineRule="auto"/>
        <w:rPr>
          <w:lang w:eastAsia="en-US"/>
        </w:rPr>
      </w:pPr>
    </w:p>
    <w:p w14:paraId="37C8A9AC" w14:textId="77777777" w:rsidR="00890657" w:rsidRDefault="007943A0" w:rsidP="001523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eastAsia="Times New Roman"/>
          <w:color w:val="auto"/>
        </w:rPr>
        <w:sectPr w:rsidR="00890657" w:rsidSect="00CC0A8E">
          <w:footerReference w:type="default" r:id="rId26"/>
          <w:pgSz w:w="11910" w:h="16840"/>
          <w:pgMar w:top="1701" w:right="1418" w:bottom="1418" w:left="1701" w:header="227" w:footer="567" w:gutter="0"/>
          <w:cols w:space="708"/>
          <w:titlePg/>
          <w:docGrid w:linePitch="326"/>
        </w:sectPr>
      </w:pPr>
      <w:r w:rsidRPr="007943A0">
        <w:rPr>
          <w:rFonts w:eastAsia="Times New Roman"/>
          <w:color w:val="auto"/>
        </w:rPr>
        <w:t>Piperidin türevi maddelerin antibakteriyel aktivitesinin belirlenmesi amacıyla disk difüzyon yöntemi kullanıldı (Ayaz, 2008). Maddelerin son konsantrasyonları 30 mg/mL olacak şekilde etanol ve DMSO (dimetil sülfoksit)’da çözülerek hazırlandı. Hazırlanan Hinton agarlı petrilere yüzey yayma metodu ile 100 μL  kon</w:t>
      </w:r>
      <w:r w:rsidR="00341D50">
        <w:rPr>
          <w:rFonts w:eastAsia="Times New Roman"/>
          <w:color w:val="auto"/>
        </w:rPr>
        <w:t>santrasyonda</w:t>
      </w:r>
      <w:r w:rsidRPr="007943A0">
        <w:rPr>
          <w:rFonts w:eastAsia="Times New Roman"/>
          <w:color w:val="auto"/>
        </w:rPr>
        <w:t xml:space="preserve"> S.</w:t>
      </w:r>
      <w:r w:rsidRPr="0058398D">
        <w:rPr>
          <w:rFonts w:eastAsia="Times New Roman"/>
          <w:i/>
          <w:color w:val="auto"/>
        </w:rPr>
        <w:t>aureus</w:t>
      </w:r>
      <w:r w:rsidRPr="007943A0">
        <w:rPr>
          <w:rFonts w:eastAsia="Times New Roman"/>
          <w:color w:val="auto"/>
        </w:rPr>
        <w:t xml:space="preserve"> ATCC: 29213, </w:t>
      </w:r>
      <w:r w:rsidRPr="007943A0">
        <w:rPr>
          <w:rFonts w:eastAsia="Times New Roman"/>
          <w:i/>
          <w:color w:val="auto"/>
        </w:rPr>
        <w:t>K. pnemoniae</w:t>
      </w:r>
      <w:r w:rsidRPr="007943A0">
        <w:rPr>
          <w:rFonts w:eastAsia="Times New Roman"/>
          <w:color w:val="auto"/>
        </w:rPr>
        <w:t xml:space="preserve"> BL 2003, </w:t>
      </w:r>
      <w:r w:rsidRPr="007943A0">
        <w:rPr>
          <w:rFonts w:eastAsia="Times New Roman"/>
          <w:i/>
          <w:color w:val="auto"/>
        </w:rPr>
        <w:t>E. coli</w:t>
      </w:r>
      <w:r w:rsidRPr="007943A0">
        <w:rPr>
          <w:rFonts w:eastAsia="Times New Roman"/>
          <w:color w:val="auto"/>
        </w:rPr>
        <w:t xml:space="preserve"> 35218, </w:t>
      </w:r>
      <w:r w:rsidRPr="007943A0">
        <w:rPr>
          <w:rFonts w:eastAsia="Times New Roman"/>
          <w:i/>
          <w:color w:val="auto"/>
        </w:rPr>
        <w:t>E.coli</w:t>
      </w:r>
      <w:r w:rsidRPr="007943A0">
        <w:rPr>
          <w:rFonts w:eastAsia="Times New Roman"/>
          <w:color w:val="auto"/>
        </w:rPr>
        <w:t xml:space="preserve"> 25922, </w:t>
      </w:r>
      <w:r w:rsidRPr="007943A0">
        <w:rPr>
          <w:rFonts w:eastAsia="Times New Roman"/>
          <w:i/>
          <w:color w:val="auto"/>
        </w:rPr>
        <w:t>E. feacalis</w:t>
      </w:r>
      <w:r w:rsidRPr="007943A0">
        <w:rPr>
          <w:rFonts w:eastAsia="Times New Roman"/>
          <w:color w:val="auto"/>
        </w:rPr>
        <w:t xml:space="preserve"> ATCC 29212, </w:t>
      </w:r>
      <w:r w:rsidRPr="007943A0">
        <w:rPr>
          <w:rFonts w:eastAsia="Times New Roman"/>
          <w:i/>
          <w:color w:val="auto"/>
        </w:rPr>
        <w:t>P.aerugınosa</w:t>
      </w:r>
      <w:r w:rsidRPr="007943A0">
        <w:rPr>
          <w:rFonts w:eastAsia="Times New Roman"/>
          <w:color w:val="auto"/>
        </w:rPr>
        <w:t xml:space="preserve"> 27853, </w:t>
      </w:r>
      <w:r w:rsidRPr="007943A0">
        <w:rPr>
          <w:rFonts w:eastAsia="Times New Roman"/>
          <w:i/>
          <w:color w:val="auto"/>
        </w:rPr>
        <w:t>P. Putida</w:t>
      </w:r>
      <w:r w:rsidR="00341D50">
        <w:rPr>
          <w:rFonts w:eastAsia="Times New Roman"/>
          <w:color w:val="auto"/>
        </w:rPr>
        <w:t xml:space="preserve"> BC1617 gibi </w:t>
      </w:r>
      <w:r w:rsidRPr="007943A0">
        <w:rPr>
          <w:rFonts w:eastAsia="Times New Roman"/>
          <w:color w:val="auto"/>
        </w:rPr>
        <w:t>bakteri süspansüyonları inoküle edildi. Ekim işlemi tamamlanan petriler 15 dakika kadar bekletildi. Pozitif kontrol için hazırlanan antibiyotikli diskler ve maddelerin uygulanacağı boş diskler numaralandırıldı. Pozitif kontrol olarak Ampisilin/Sulbaktam ve basitrasin kullanıldı. Çözeltilerin uygulandığı disklere nüfuzu için 10-15 dakika bekletilerek, petriler düz bir şekilde 37 ᵒC’de 24 saat inkübasyona bırakıldı (Özkan, 2009). İnkübasyon sonrasında diskler etrafında oluşan inhibisyon zonlarının çapları milimetrik cetvel ile ölçüldü (Ebrahimabadi vd., 2010).</w:t>
      </w:r>
    </w:p>
    <w:p w14:paraId="73928373" w14:textId="77777777" w:rsidR="003C0839" w:rsidRDefault="003C0839" w:rsidP="00890657">
      <w:pPr>
        <w:pStyle w:val="balk10"/>
        <w:spacing w:before="0" w:after="0"/>
        <w:ind w:firstLine="0"/>
        <w:rPr>
          <w:rFonts w:eastAsia="Times New Roman"/>
          <w:lang w:val="en-US" w:eastAsia="en-US"/>
        </w:rPr>
      </w:pPr>
      <w:bookmarkStart w:id="74" w:name="_Toc64567856"/>
    </w:p>
    <w:p w14:paraId="7C520DBF" w14:textId="77777777" w:rsidR="0041300A" w:rsidRDefault="007943A0" w:rsidP="0041300A">
      <w:pPr>
        <w:pStyle w:val="balk10"/>
        <w:spacing w:before="0" w:after="0" w:line="240" w:lineRule="auto"/>
        <w:rPr>
          <w:rFonts w:eastAsia="Times New Roman"/>
          <w:lang w:val="en-US" w:eastAsia="en-US"/>
        </w:rPr>
      </w:pPr>
      <w:r w:rsidRPr="007943A0">
        <w:rPr>
          <w:rFonts w:eastAsia="Times New Roman"/>
          <w:lang w:val="en-US" w:eastAsia="en-US"/>
        </w:rPr>
        <w:t>3. BULGULAR</w:t>
      </w:r>
      <w:bookmarkStart w:id="75" w:name="_Toc64567857"/>
      <w:bookmarkEnd w:id="74"/>
    </w:p>
    <w:p w14:paraId="0A7DC0E7" w14:textId="77777777" w:rsidR="0041300A" w:rsidRDefault="0041300A" w:rsidP="0041300A">
      <w:pPr>
        <w:pStyle w:val="balk10"/>
        <w:spacing w:before="0" w:after="0" w:line="240" w:lineRule="auto"/>
        <w:rPr>
          <w:rFonts w:eastAsia="Times New Roman"/>
          <w:lang w:val="en-US" w:eastAsia="en-US"/>
        </w:rPr>
      </w:pPr>
    </w:p>
    <w:p w14:paraId="7CD36DE6" w14:textId="72E65CDB" w:rsidR="007943A0" w:rsidRDefault="003C0839" w:rsidP="007F69F9">
      <w:pPr>
        <w:pStyle w:val="balk10"/>
        <w:spacing w:before="0" w:after="0" w:line="240" w:lineRule="auto"/>
        <w:jc w:val="both"/>
        <w:rPr>
          <w:rFonts w:eastAsia="Times New Roman"/>
          <w:lang w:val="en-US" w:eastAsia="en-US"/>
        </w:rPr>
      </w:pPr>
      <w:r>
        <w:rPr>
          <w:rFonts w:eastAsia="Times New Roman"/>
          <w:lang w:val="en-US" w:eastAsia="en-US"/>
        </w:rPr>
        <w:t xml:space="preserve">3.1. </w:t>
      </w:r>
      <w:r w:rsidR="007943A0" w:rsidRPr="007943A0">
        <w:rPr>
          <w:rFonts w:eastAsia="Times New Roman"/>
          <w:lang w:val="en-US" w:eastAsia="en-US"/>
        </w:rPr>
        <w:t>Kolinesteraz Enzimleri Üzerinde Yapılan Kinetik Çalışma Sonuçları</w:t>
      </w:r>
      <w:bookmarkEnd w:id="75"/>
    </w:p>
    <w:p w14:paraId="32EE726E" w14:textId="77777777" w:rsidR="0041300A" w:rsidRDefault="0041300A" w:rsidP="007F69F9">
      <w:pPr>
        <w:pStyle w:val="balk10"/>
        <w:spacing w:before="0" w:after="0" w:line="240" w:lineRule="auto"/>
        <w:jc w:val="both"/>
        <w:rPr>
          <w:rFonts w:eastAsia="Times New Roman"/>
          <w:lang w:val="en-US" w:eastAsia="en-US"/>
        </w:rPr>
      </w:pPr>
    </w:p>
    <w:p w14:paraId="6CCF19CA" w14:textId="67726EFC" w:rsidR="00C62085" w:rsidRDefault="00C62085" w:rsidP="007F69F9">
      <w:pPr>
        <w:pStyle w:val="Balk6"/>
        <w:spacing w:before="0" w:after="0" w:line="240" w:lineRule="auto"/>
        <w:ind w:left="1191" w:hanging="624"/>
        <w:jc w:val="both"/>
        <w:rPr>
          <w:lang w:eastAsia="en-US"/>
        </w:rPr>
      </w:pPr>
      <w:r w:rsidRPr="007943A0">
        <w:rPr>
          <w:lang w:eastAsia="en-US"/>
        </w:rPr>
        <w:t>3</w:t>
      </w:r>
      <w:r>
        <w:rPr>
          <w:lang w:eastAsia="en-US"/>
        </w:rPr>
        <w:t>.1.1</w:t>
      </w:r>
      <w:r w:rsidRPr="007943A0">
        <w:rPr>
          <w:lang w:eastAsia="en-US"/>
        </w:rPr>
        <w:t xml:space="preserve">. </w:t>
      </w:r>
      <w:r>
        <w:rPr>
          <w:lang w:eastAsia="en-US"/>
        </w:rPr>
        <w:t>Asetil</w:t>
      </w:r>
      <w:r w:rsidRPr="007943A0">
        <w:rPr>
          <w:lang w:eastAsia="en-US"/>
        </w:rPr>
        <w:t>kolinesteraz Enzimi Üzerinde İnhibisyon Etkisi Gösteren Piperidin Türevi Maddeler ile İlgili Sonuçlar</w:t>
      </w:r>
    </w:p>
    <w:p w14:paraId="1F41AC8B" w14:textId="77777777" w:rsidR="001977AF" w:rsidRPr="001977AF" w:rsidRDefault="001977AF" w:rsidP="001977AF">
      <w:pPr>
        <w:spacing w:after="0" w:line="360" w:lineRule="auto"/>
        <w:rPr>
          <w:lang w:eastAsia="en-US"/>
        </w:rPr>
      </w:pPr>
    </w:p>
    <w:p w14:paraId="4556054C" w14:textId="0DE11FB8" w:rsidR="005B72C0" w:rsidRDefault="007943A0" w:rsidP="00EA7AE9">
      <w:pPr>
        <w:widowControl w:val="0"/>
        <w:spacing w:after="0" w:line="360" w:lineRule="auto"/>
        <w:ind w:firstLine="567"/>
        <w:jc w:val="both"/>
        <w:rPr>
          <w:rFonts w:eastAsia="Calibri"/>
          <w:color w:val="auto"/>
        </w:rPr>
      </w:pPr>
      <w:r w:rsidRPr="007943A0">
        <w:rPr>
          <w:rFonts w:eastAsia="Calibri"/>
          <w:color w:val="auto"/>
          <w:lang w:val="en-US" w:eastAsia="en-US"/>
        </w:rPr>
        <w:t xml:space="preserve">Asetilkolinesteraz enzimi için; doygun substrat konsantrasyonlarında piperidin türevi bileşiklerin inhibisyon etkileri incelendi. Ellman ve arkadaşları (1961) tarafından geliştirilen yöntemle ölçümler yapıldı. İnhibisyon görülen her molekül için Aktivite (%)-[I] ve </w:t>
      </w:r>
      <w:r w:rsidR="00A33286" w:rsidRPr="00A33286">
        <w:rPr>
          <w:rFonts w:eastAsia="Calibri"/>
          <w:color w:val="auto"/>
          <w:lang w:val="en-US" w:eastAsia="en-US"/>
        </w:rPr>
        <w:t>Lineweaver-Burk</w:t>
      </w:r>
      <w:r w:rsidR="00A33286">
        <w:rPr>
          <w:rFonts w:eastAsia="Calibri"/>
          <w:color w:val="auto"/>
          <w:lang w:val="en-US" w:eastAsia="en-US"/>
        </w:rPr>
        <w:t xml:space="preserve"> grafikleri</w:t>
      </w:r>
      <w:r w:rsidRPr="007943A0">
        <w:rPr>
          <w:rFonts w:eastAsia="Calibri"/>
          <w:color w:val="auto"/>
          <w:lang w:val="en-US" w:eastAsia="en-US"/>
        </w:rPr>
        <w:t xml:space="preserve"> çizildi. Çizilen grafiklerden IC</w:t>
      </w:r>
      <w:r w:rsidRPr="007943A0">
        <w:rPr>
          <w:rFonts w:eastAsia="Calibri"/>
          <w:color w:val="auto"/>
          <w:vertAlign w:val="subscript"/>
          <w:lang w:val="en-US" w:eastAsia="en-US"/>
        </w:rPr>
        <w:t>50</w:t>
      </w:r>
      <w:r w:rsidR="00341D50">
        <w:rPr>
          <w:rFonts w:eastAsia="Calibri"/>
          <w:color w:val="auto"/>
          <w:lang w:val="en-US" w:eastAsia="en-US"/>
        </w:rPr>
        <w:t xml:space="preserve"> ve k</w:t>
      </w:r>
      <w:r w:rsidRPr="00341D50">
        <w:rPr>
          <w:rFonts w:eastAsia="Calibri"/>
          <w:color w:val="auto"/>
          <w:vertAlign w:val="subscript"/>
          <w:lang w:val="en-US" w:eastAsia="en-US"/>
        </w:rPr>
        <w:t>i</w:t>
      </w:r>
      <w:r w:rsidRPr="007943A0">
        <w:rPr>
          <w:rFonts w:eastAsia="Calibri"/>
          <w:color w:val="auto"/>
          <w:lang w:val="en-US" w:eastAsia="en-US"/>
        </w:rPr>
        <w:t xml:space="preserve"> değerleri hesaplandı.</w:t>
      </w:r>
    </w:p>
    <w:p w14:paraId="108A9E4D" w14:textId="77777777" w:rsidR="00EA7AE9" w:rsidRDefault="00EA7AE9" w:rsidP="00EA7AE9">
      <w:pPr>
        <w:widowControl w:val="0"/>
        <w:spacing w:after="0" w:line="360" w:lineRule="auto"/>
        <w:ind w:firstLine="567"/>
        <w:jc w:val="both"/>
        <w:rPr>
          <w:rFonts w:eastAsia="Calibri"/>
          <w:color w:val="auto"/>
        </w:rPr>
      </w:pPr>
    </w:p>
    <w:p w14:paraId="30E7BC40" w14:textId="77777777" w:rsidR="00EA7AE9" w:rsidRPr="00DC51C4" w:rsidRDefault="00EA7AE9" w:rsidP="00EA7AE9">
      <w:pPr>
        <w:widowControl w:val="0"/>
        <w:spacing w:after="0" w:line="240" w:lineRule="auto"/>
        <w:ind w:firstLine="567"/>
        <w:jc w:val="both"/>
        <w:rPr>
          <w:rFonts w:eastAsia="Calibri"/>
          <w:color w:val="auto"/>
        </w:rPr>
      </w:pPr>
    </w:p>
    <w:p w14:paraId="4B336382" w14:textId="2017C173" w:rsidR="00771668" w:rsidRDefault="007943A0" w:rsidP="00771668">
      <w:pPr>
        <w:widowControl w:val="0"/>
        <w:spacing w:after="0" w:line="240" w:lineRule="auto"/>
        <w:rPr>
          <w:rFonts w:ascii="Calibri" w:eastAsia="Calibri" w:hAnsi="Calibri"/>
          <w:color w:val="auto"/>
          <w:sz w:val="22"/>
          <w:szCs w:val="22"/>
        </w:rPr>
      </w:pPr>
      <w:r w:rsidRPr="007943A0">
        <w:rPr>
          <w:rFonts w:ascii="Calibri" w:eastAsia="Calibri" w:hAnsi="Calibri"/>
          <w:noProof/>
          <w:color w:val="auto"/>
          <w:sz w:val="22"/>
          <w:szCs w:val="22"/>
        </w:rPr>
        <w:drawing>
          <wp:inline distT="0" distB="0" distL="0" distR="0" wp14:anchorId="204024A1" wp14:editId="30AED3D2">
            <wp:extent cx="5582285" cy="2552563"/>
            <wp:effectExtent l="0" t="0" r="18415" b="19685"/>
            <wp:docPr id="57" name="Grafik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2FF803A" w14:textId="77777777" w:rsidR="00771668" w:rsidRPr="00771668" w:rsidRDefault="00771668" w:rsidP="00771668">
      <w:pPr>
        <w:widowControl w:val="0"/>
        <w:spacing w:after="0" w:line="240" w:lineRule="auto"/>
        <w:rPr>
          <w:rFonts w:ascii="Calibri" w:eastAsia="Calibri" w:hAnsi="Calibri"/>
          <w:color w:val="auto"/>
          <w:sz w:val="22"/>
          <w:szCs w:val="22"/>
        </w:rPr>
      </w:pPr>
    </w:p>
    <w:p w14:paraId="74912B4C" w14:textId="43E728A5" w:rsidR="007943A0" w:rsidRPr="007943A0" w:rsidRDefault="00205F57" w:rsidP="00771668">
      <w:pPr>
        <w:widowControl w:val="0"/>
        <w:spacing w:after="0" w:line="240" w:lineRule="auto"/>
        <w:ind w:left="1304" w:hanging="1304"/>
        <w:jc w:val="both"/>
        <w:rPr>
          <w:rFonts w:eastAsia="Calibri"/>
          <w:color w:val="auto"/>
        </w:rPr>
      </w:pPr>
      <w:r>
        <w:rPr>
          <w:rFonts w:eastAsia="Calibri"/>
          <w:noProof/>
          <w:color w:val="auto"/>
        </w:rPr>
        <mc:AlternateContent>
          <mc:Choice Requires="wps">
            <w:drawing>
              <wp:anchor distT="0" distB="0" distL="114300" distR="114300" simplePos="0" relativeHeight="251662336" behindDoc="0" locked="0" layoutInCell="1" allowOverlap="1" wp14:anchorId="160F10EB" wp14:editId="7A50D6B9">
                <wp:simplePos x="0" y="0"/>
                <wp:positionH relativeFrom="column">
                  <wp:posOffset>2630805</wp:posOffset>
                </wp:positionH>
                <wp:positionV relativeFrom="paragraph">
                  <wp:posOffset>3199130</wp:posOffset>
                </wp:positionV>
                <wp:extent cx="474134" cy="325120"/>
                <wp:effectExtent l="0" t="0" r="21590" b="17780"/>
                <wp:wrapNone/>
                <wp:docPr id="8" name="Dikdörtgen 8"/>
                <wp:cNvGraphicFramePr/>
                <a:graphic xmlns:a="http://schemas.openxmlformats.org/drawingml/2006/main">
                  <a:graphicData uri="http://schemas.microsoft.com/office/word/2010/wordprocessingShape">
                    <wps:wsp>
                      <wps:cNvSpPr/>
                      <wps:spPr>
                        <a:xfrm>
                          <a:off x="0" y="0"/>
                          <a:ext cx="474134" cy="32512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AA0F51" id="Dikdörtgen 8" o:spid="_x0000_s1026" style="position:absolute;margin-left:207.15pt;margin-top:251.9pt;width:37.35pt;height:25.6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" fillcolor="white [3201]" strokecolor="white [3212]" strokeweight="2pt"/>
            </w:pict>
          </mc:Fallback>
        </mc:AlternateContent>
      </w:r>
      <w:r w:rsidR="007943A0" w:rsidRPr="007943A0">
        <w:rPr>
          <w:rFonts w:eastAsia="Calibri"/>
          <w:color w:val="auto"/>
          <w:lang w:val="en-US" w:eastAsia="en-US"/>
        </w:rPr>
        <w:t>Şekil 3.1.</w:t>
      </w:r>
      <w:r w:rsidR="007943A0" w:rsidRPr="007943A0">
        <w:rPr>
          <w:rFonts w:eastAsia="Calibri"/>
          <w:b/>
          <w:color w:val="auto"/>
          <w:lang w:val="en-US" w:eastAsia="en-US"/>
        </w:rPr>
        <w:t xml:space="preserve"> (</w:t>
      </w:r>
      <w:r w:rsidR="007943A0" w:rsidRPr="007943A0">
        <w:rPr>
          <w:rFonts w:eastAsia="Calibri"/>
          <w:color w:val="auto"/>
          <w:lang w:val="en-US" w:eastAsia="en-US"/>
        </w:rPr>
        <w:t>1-metil-4-hidroksi-4-fenil piperidin-3-il)(fenil)metanon bileşiğinin AChE enzimi üzerindeki etkisini belirlemek amacıyla beş farklı inhibitor konstrasyonunda çizilen Aktivite(%)-[Konsantrasyon] grafiği</w:t>
      </w:r>
    </w:p>
    <w:p w14:paraId="0036FC5F" w14:textId="77777777" w:rsidR="007943A0" w:rsidRDefault="007943A0" w:rsidP="007943A0">
      <w:pPr>
        <w:widowControl w:val="0"/>
        <w:spacing w:after="0" w:line="240" w:lineRule="auto"/>
        <w:rPr>
          <w:rFonts w:ascii="Calibri" w:eastAsia="Calibri" w:hAnsi="Calibri"/>
          <w:color w:val="auto"/>
          <w:sz w:val="22"/>
          <w:szCs w:val="22"/>
        </w:rPr>
      </w:pPr>
      <w:r w:rsidRPr="007943A0">
        <w:rPr>
          <w:rFonts w:ascii="Calibri" w:eastAsia="Calibri" w:hAnsi="Calibri"/>
          <w:noProof/>
          <w:color w:val="auto"/>
          <w:sz w:val="22"/>
          <w:szCs w:val="22"/>
        </w:rPr>
        <w:lastRenderedPageBreak/>
        <w:drawing>
          <wp:inline distT="0" distB="0" distL="0" distR="0" wp14:anchorId="7A3EC498" wp14:editId="3F861211">
            <wp:extent cx="5582285" cy="3115777"/>
            <wp:effectExtent l="0" t="0" r="18415" b="27940"/>
            <wp:docPr id="58" name="Grafik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3B56F3E" w14:textId="77777777" w:rsidR="00771668" w:rsidRPr="007943A0" w:rsidRDefault="00771668" w:rsidP="007943A0">
      <w:pPr>
        <w:widowControl w:val="0"/>
        <w:spacing w:after="0" w:line="240" w:lineRule="auto"/>
        <w:rPr>
          <w:rFonts w:ascii="Calibri" w:eastAsia="Calibri" w:hAnsi="Calibri"/>
          <w:color w:val="auto"/>
          <w:sz w:val="22"/>
          <w:szCs w:val="22"/>
        </w:rPr>
      </w:pPr>
    </w:p>
    <w:p w14:paraId="4272ACB8" w14:textId="08BAC06D" w:rsidR="005B72C0" w:rsidRDefault="007943A0" w:rsidP="00771668">
      <w:pPr>
        <w:widowControl w:val="0"/>
        <w:spacing w:after="0" w:line="240" w:lineRule="auto"/>
        <w:ind w:left="1021" w:hanging="1021"/>
        <w:jc w:val="both"/>
        <w:rPr>
          <w:rFonts w:eastAsia="Calibri"/>
          <w:color w:val="auto"/>
        </w:rPr>
      </w:pPr>
      <w:r w:rsidRPr="007943A0">
        <w:rPr>
          <w:rFonts w:eastAsia="Calibri"/>
          <w:color w:val="auto"/>
        </w:rPr>
        <w:t>Şekil 3.2. (1-metil-4-hidroksi-4-fenilpiperidin-3-il)(fenil)metanon bileşiğinin AChE enzimi üzerindeki etkisini belirlemek amacıyla beş farklı substrat konsantrasyonu ve üç farklı inhibitör konsantrasyonunda ç</w:t>
      </w:r>
      <w:r w:rsidR="00771668">
        <w:rPr>
          <w:rFonts w:eastAsia="Calibri"/>
          <w:color w:val="auto"/>
        </w:rPr>
        <w:t>izilen Lineweaver-Burk grafiği</w:t>
      </w:r>
    </w:p>
    <w:p w14:paraId="7F74B8CF" w14:textId="77777777" w:rsidR="00771668" w:rsidRDefault="00771668" w:rsidP="00771668">
      <w:pPr>
        <w:widowControl w:val="0"/>
        <w:spacing w:after="0" w:line="240" w:lineRule="auto"/>
        <w:ind w:left="1021" w:hanging="1021"/>
        <w:jc w:val="both"/>
        <w:rPr>
          <w:rFonts w:eastAsia="Calibri"/>
          <w:color w:val="auto"/>
        </w:rPr>
      </w:pPr>
    </w:p>
    <w:p w14:paraId="3BE2EBA3" w14:textId="77777777" w:rsidR="00771668" w:rsidRPr="007943A0" w:rsidRDefault="00771668" w:rsidP="00771668">
      <w:pPr>
        <w:widowControl w:val="0"/>
        <w:spacing w:after="0" w:line="240" w:lineRule="auto"/>
        <w:ind w:left="1021" w:hanging="1021"/>
        <w:jc w:val="both"/>
        <w:rPr>
          <w:rFonts w:eastAsia="Calibri"/>
          <w:color w:val="auto"/>
        </w:rPr>
      </w:pPr>
    </w:p>
    <w:p w14:paraId="35865081" w14:textId="77777777" w:rsidR="007943A0" w:rsidRDefault="007943A0" w:rsidP="007943A0">
      <w:pPr>
        <w:widowControl w:val="0"/>
        <w:spacing w:after="0" w:line="240" w:lineRule="auto"/>
        <w:rPr>
          <w:rFonts w:ascii="Calibri" w:eastAsia="Calibri" w:hAnsi="Calibri"/>
          <w:color w:val="auto"/>
          <w:sz w:val="22"/>
          <w:szCs w:val="22"/>
        </w:rPr>
      </w:pPr>
      <w:r w:rsidRPr="007943A0">
        <w:rPr>
          <w:rFonts w:ascii="Calibri" w:eastAsia="Calibri" w:hAnsi="Calibri"/>
          <w:noProof/>
          <w:color w:val="auto"/>
          <w:sz w:val="22"/>
          <w:szCs w:val="22"/>
        </w:rPr>
        <w:drawing>
          <wp:inline distT="0" distB="0" distL="0" distR="0" wp14:anchorId="54041705" wp14:editId="5E5D621E">
            <wp:extent cx="5582285" cy="2526450"/>
            <wp:effectExtent l="0" t="0" r="18415" b="26670"/>
            <wp:docPr id="59" name="Grafik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E83111A" w14:textId="77777777" w:rsidR="00771668" w:rsidRPr="007943A0" w:rsidRDefault="00771668" w:rsidP="007943A0">
      <w:pPr>
        <w:widowControl w:val="0"/>
        <w:spacing w:after="0" w:line="240" w:lineRule="auto"/>
        <w:rPr>
          <w:rFonts w:ascii="Calibri" w:eastAsia="Calibri" w:hAnsi="Calibri"/>
          <w:color w:val="auto"/>
          <w:sz w:val="22"/>
          <w:szCs w:val="22"/>
        </w:rPr>
      </w:pPr>
    </w:p>
    <w:p w14:paraId="7CCB2825" w14:textId="77777777" w:rsidR="007943A0" w:rsidRPr="007943A0" w:rsidRDefault="007943A0" w:rsidP="0015234E">
      <w:pPr>
        <w:widowControl w:val="0"/>
        <w:spacing w:after="0" w:line="240" w:lineRule="auto"/>
        <w:ind w:left="1077" w:hanging="1077"/>
        <w:jc w:val="both"/>
        <w:rPr>
          <w:rFonts w:eastAsia="Calibri"/>
          <w:color w:val="auto"/>
        </w:rPr>
      </w:pPr>
      <w:r w:rsidRPr="007943A0">
        <w:rPr>
          <w:rFonts w:eastAsia="Calibri"/>
          <w:color w:val="auto"/>
          <w:lang w:val="en-US" w:eastAsia="en-US"/>
        </w:rPr>
        <w:t>Şekil 3.3.</w:t>
      </w:r>
      <w:r w:rsidRPr="007943A0">
        <w:rPr>
          <w:rFonts w:eastAsia="Calibri"/>
          <w:b/>
          <w:color w:val="auto"/>
          <w:lang w:val="en-US" w:eastAsia="en-US"/>
        </w:rPr>
        <w:t xml:space="preserve"> (</w:t>
      </w:r>
      <w:r w:rsidRPr="007943A0">
        <w:rPr>
          <w:rFonts w:eastAsia="Calibri"/>
          <w:color w:val="auto"/>
          <w:lang w:val="en-US" w:eastAsia="en-US"/>
        </w:rPr>
        <w:t>1-etil-4-hidroksi-4-fenil piperidin-3-il)(fenil)metanon bileşiğinin AChE enzimi üzerindeki etkisini belirlemek amacıyla beş farklı inhibitor konstrasyonunda çizilen Aktivite(%)-[Konsantrasyon] grafiği</w:t>
      </w:r>
    </w:p>
    <w:p w14:paraId="18D017FE" w14:textId="77777777" w:rsidR="007943A0" w:rsidRPr="007943A0" w:rsidRDefault="007943A0" w:rsidP="007943A0">
      <w:pPr>
        <w:widowControl w:val="0"/>
        <w:spacing w:after="0" w:line="240" w:lineRule="auto"/>
        <w:rPr>
          <w:rFonts w:ascii="Calibri" w:eastAsia="Calibri" w:hAnsi="Calibri"/>
          <w:color w:val="auto"/>
          <w:sz w:val="22"/>
          <w:szCs w:val="22"/>
        </w:rPr>
      </w:pPr>
    </w:p>
    <w:p w14:paraId="02352B31" w14:textId="77777777" w:rsidR="007943A0" w:rsidRDefault="007943A0" w:rsidP="007943A0">
      <w:pPr>
        <w:widowControl w:val="0"/>
        <w:spacing w:after="0" w:line="240" w:lineRule="auto"/>
        <w:rPr>
          <w:rFonts w:ascii="Calibri" w:eastAsia="Calibri" w:hAnsi="Calibri"/>
          <w:color w:val="auto"/>
          <w:sz w:val="22"/>
          <w:szCs w:val="22"/>
        </w:rPr>
      </w:pPr>
      <w:r w:rsidRPr="007943A0">
        <w:rPr>
          <w:rFonts w:ascii="Calibri" w:eastAsia="Calibri" w:hAnsi="Calibri"/>
          <w:noProof/>
          <w:color w:val="auto"/>
          <w:sz w:val="22"/>
          <w:szCs w:val="22"/>
        </w:rPr>
        <w:lastRenderedPageBreak/>
        <w:drawing>
          <wp:inline distT="0" distB="0" distL="0" distR="0" wp14:anchorId="1865498F" wp14:editId="1B8A85B2">
            <wp:extent cx="5582285" cy="3061770"/>
            <wp:effectExtent l="0" t="0" r="18415" b="24765"/>
            <wp:docPr id="60" name="Grafik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B47FE49" w14:textId="77777777" w:rsidR="00771668" w:rsidRPr="007943A0" w:rsidRDefault="00771668" w:rsidP="007943A0">
      <w:pPr>
        <w:widowControl w:val="0"/>
        <w:spacing w:after="0" w:line="240" w:lineRule="auto"/>
        <w:rPr>
          <w:rFonts w:ascii="Calibri" w:eastAsia="Calibri" w:hAnsi="Calibri"/>
          <w:color w:val="auto"/>
          <w:sz w:val="22"/>
          <w:szCs w:val="22"/>
        </w:rPr>
      </w:pPr>
    </w:p>
    <w:p w14:paraId="7B3E9A0F" w14:textId="2BA93BB2" w:rsidR="005B72C0" w:rsidRDefault="007943A0" w:rsidP="005B72C0">
      <w:pPr>
        <w:widowControl w:val="0"/>
        <w:spacing w:after="0" w:line="240" w:lineRule="auto"/>
        <w:ind w:left="1077" w:hanging="1077"/>
        <w:jc w:val="both"/>
        <w:rPr>
          <w:rFonts w:eastAsia="Calibri"/>
          <w:color w:val="auto"/>
        </w:rPr>
      </w:pPr>
      <w:r w:rsidRPr="007943A0">
        <w:rPr>
          <w:rFonts w:eastAsia="Calibri"/>
          <w:color w:val="auto"/>
        </w:rPr>
        <w:t>Şekil 3.4</w:t>
      </w:r>
      <w:r w:rsidRPr="007943A0">
        <w:rPr>
          <w:rFonts w:eastAsia="Calibri"/>
          <w:b/>
          <w:color w:val="auto"/>
        </w:rPr>
        <w:t>.</w:t>
      </w:r>
      <w:r w:rsidRPr="007943A0">
        <w:rPr>
          <w:rFonts w:eastAsia="Calibri"/>
          <w:color w:val="auto"/>
        </w:rPr>
        <w:t xml:space="preserve"> (1-etil-4-hidroksi-4-fenil piperidin-3-il)(fenil)metanon bileşiğinin AChE enzimi üzerindeki etkisini belirlemek amacıyla beş farklı substrat konsantrasyonu ve üç farklı inhibitör konsantrasyonunda </w:t>
      </w:r>
      <w:r w:rsidR="00113F90">
        <w:rPr>
          <w:rFonts w:eastAsia="Calibri"/>
          <w:color w:val="auto"/>
        </w:rPr>
        <w:t>çizilen Lineweaver-Burk grafiği</w:t>
      </w:r>
    </w:p>
    <w:p w14:paraId="1663D417" w14:textId="77777777" w:rsidR="005B72C0" w:rsidRDefault="005B72C0" w:rsidP="005B72C0">
      <w:pPr>
        <w:widowControl w:val="0"/>
        <w:spacing w:after="0" w:line="240" w:lineRule="auto"/>
        <w:ind w:left="1077" w:hanging="1077"/>
        <w:jc w:val="both"/>
        <w:rPr>
          <w:rFonts w:eastAsia="Calibri"/>
          <w:color w:val="auto"/>
        </w:rPr>
      </w:pPr>
    </w:p>
    <w:p w14:paraId="0ECC2138" w14:textId="77777777" w:rsidR="005B72C0" w:rsidRPr="007943A0" w:rsidRDefault="005B72C0" w:rsidP="005B72C0">
      <w:pPr>
        <w:widowControl w:val="0"/>
        <w:spacing w:after="0" w:line="240" w:lineRule="auto"/>
        <w:ind w:left="1077" w:hanging="1077"/>
        <w:jc w:val="both"/>
        <w:rPr>
          <w:rFonts w:eastAsia="Calibri"/>
          <w:color w:val="auto"/>
        </w:rPr>
      </w:pPr>
    </w:p>
    <w:p w14:paraId="6175747B" w14:textId="72026D0B" w:rsidR="007A54B7" w:rsidRDefault="00BE7BA3" w:rsidP="007A54B7">
      <w:pPr>
        <w:widowControl w:val="0"/>
        <w:spacing w:after="0" w:line="240" w:lineRule="auto"/>
        <w:ind w:left="1191" w:hanging="1191"/>
        <w:jc w:val="both"/>
        <w:rPr>
          <w:rFonts w:eastAsia="Calibri"/>
          <w:color w:val="auto"/>
        </w:rPr>
      </w:pPr>
      <w:r w:rsidRPr="007943A0">
        <w:rPr>
          <w:rFonts w:eastAsia="Calibri"/>
          <w:color w:val="auto"/>
        </w:rPr>
        <w:t>Tablo 3.1. Asetilkolinesteraz enzimi üzerine inhibisyon etkisi gösteren bileşiklerin IC</w:t>
      </w:r>
      <w:r w:rsidRPr="007943A0">
        <w:rPr>
          <w:rFonts w:eastAsia="Calibri"/>
          <w:color w:val="auto"/>
          <w:vertAlign w:val="subscript"/>
        </w:rPr>
        <w:t>50</w:t>
      </w:r>
      <w:r w:rsidRPr="007943A0">
        <w:rPr>
          <w:rFonts w:eastAsia="Calibri"/>
          <w:color w:val="auto"/>
        </w:rPr>
        <w:t xml:space="preserve"> değerleri, k</w:t>
      </w:r>
      <w:r w:rsidRPr="007943A0">
        <w:rPr>
          <w:rFonts w:eastAsia="Calibri"/>
          <w:color w:val="auto"/>
          <w:vertAlign w:val="subscript"/>
        </w:rPr>
        <w:t xml:space="preserve">i </w:t>
      </w:r>
      <w:r w:rsidRPr="007943A0">
        <w:rPr>
          <w:rFonts w:eastAsia="Calibri"/>
          <w:color w:val="auto"/>
        </w:rPr>
        <w:t>değerleri ve inhibisyon türleri</w:t>
      </w:r>
    </w:p>
    <w:p w14:paraId="277EDB58" w14:textId="77777777" w:rsidR="00771668" w:rsidRPr="007943A0" w:rsidRDefault="00771668" w:rsidP="007A54B7">
      <w:pPr>
        <w:widowControl w:val="0"/>
        <w:spacing w:after="0" w:line="240" w:lineRule="auto"/>
        <w:ind w:left="1191" w:hanging="1191"/>
        <w:jc w:val="both"/>
        <w:rPr>
          <w:rFonts w:eastAsia="Calibri"/>
          <w:color w:val="auto"/>
        </w:rPr>
      </w:pPr>
    </w:p>
    <w:tbl>
      <w:tblPr>
        <w:tblStyle w:val="AkListe-Vurgu31"/>
        <w:tblW w:w="8789" w:type="dxa"/>
        <w:tblInd w:w="108" w:type="dxa"/>
        <w:tblLook w:val="04A0" w:firstRow="1" w:lastRow="0" w:firstColumn="1" w:lastColumn="0" w:noHBand="0" w:noVBand="1"/>
      </w:tblPr>
      <w:tblGrid>
        <w:gridCol w:w="4085"/>
        <w:gridCol w:w="1358"/>
        <w:gridCol w:w="2028"/>
        <w:gridCol w:w="1318"/>
      </w:tblGrid>
      <w:tr w:rsidR="00BE7BA3" w:rsidRPr="007943A0" w14:paraId="1474F977" w14:textId="77777777" w:rsidTr="00CC463A">
        <w:trPr>
          <w:cnfStyle w:val="100000000000" w:firstRow="1" w:lastRow="0" w:firstColumn="0" w:lastColumn="0" w:oddVBand="0" w:evenVBand="0" w:oddHBand="0" w:evenHBand="0" w:firstRowFirstColumn="0" w:firstRowLastColumn="0" w:lastRowFirstColumn="0" w:lastRowLastColumn="0"/>
          <w:trHeight w:val="962"/>
        </w:trPr>
        <w:tc>
          <w:tcPr>
            <w:cnfStyle w:val="001000000000" w:firstRow="0" w:lastRow="0" w:firstColumn="1" w:lastColumn="0" w:oddVBand="0" w:evenVBand="0" w:oddHBand="0" w:evenHBand="0" w:firstRowFirstColumn="0" w:firstRowLastColumn="0" w:lastRowFirstColumn="0" w:lastRowLastColumn="0"/>
            <w:tcW w:w="4085" w:type="dxa"/>
            <w:tcBorders>
              <w:top w:val="thinThickThinSmallGap" w:sz="24" w:space="0" w:color="auto"/>
              <w:bottom w:val="double" w:sz="6" w:space="0" w:color="auto"/>
            </w:tcBorders>
          </w:tcPr>
          <w:p w14:paraId="57E44828" w14:textId="77777777" w:rsidR="00BE7BA3" w:rsidRPr="00230A84" w:rsidRDefault="00BE7BA3" w:rsidP="00A01DB1">
            <w:pPr>
              <w:keepNext/>
              <w:keepLines/>
              <w:spacing w:before="120" w:after="120" w:line="360" w:lineRule="auto"/>
              <w:jc w:val="center"/>
              <w:outlineLvl w:val="2"/>
              <w:rPr>
                <w:rFonts w:ascii="Times New Roman" w:eastAsia="Times New Roman" w:hAnsi="Times New Roman"/>
              </w:rPr>
            </w:pPr>
            <w:bookmarkStart w:id="76" w:name="_Toc64567859"/>
            <w:r w:rsidRPr="00230A84">
              <w:rPr>
                <w:rFonts w:ascii="Times New Roman" w:eastAsia="Times New Roman" w:hAnsi="Times New Roman"/>
              </w:rPr>
              <w:t>İnhibitör</w:t>
            </w:r>
            <w:bookmarkEnd w:id="76"/>
          </w:p>
          <w:p w14:paraId="6BB113B3" w14:textId="77777777" w:rsidR="00BE7BA3" w:rsidRPr="00230A84" w:rsidRDefault="00BE7BA3" w:rsidP="00A01DB1">
            <w:pPr>
              <w:widowControl w:val="0"/>
              <w:jc w:val="center"/>
            </w:pPr>
          </w:p>
        </w:tc>
        <w:tc>
          <w:tcPr>
            <w:tcW w:w="1358" w:type="dxa"/>
            <w:tcBorders>
              <w:top w:val="thinThickThinSmallGap" w:sz="24" w:space="0" w:color="auto"/>
              <w:bottom w:val="double" w:sz="6" w:space="0" w:color="auto"/>
            </w:tcBorders>
          </w:tcPr>
          <w:p w14:paraId="034DACD2" w14:textId="77777777" w:rsidR="00BE7BA3" w:rsidRPr="00230A84" w:rsidRDefault="00BE7BA3" w:rsidP="00A01DB1">
            <w:pPr>
              <w:keepNext/>
              <w:keepLines/>
              <w:spacing w:before="120" w:after="120" w:line="360" w:lineRule="auto"/>
              <w:jc w:val="center"/>
              <w:outlineLvl w:val="2"/>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rPr>
            </w:pPr>
            <w:bookmarkStart w:id="77" w:name="_Toc64567860"/>
            <w:r w:rsidRPr="00230A84">
              <w:rPr>
                <w:rFonts w:ascii="Times New Roman" w:eastAsia="Times New Roman" w:hAnsi="Times New Roman"/>
              </w:rPr>
              <w:t>IC</w:t>
            </w:r>
            <w:r w:rsidRPr="00230A84">
              <w:rPr>
                <w:rFonts w:ascii="Times New Roman" w:eastAsia="Times New Roman" w:hAnsi="Times New Roman"/>
                <w:vertAlign w:val="subscript"/>
              </w:rPr>
              <w:t>50</w:t>
            </w:r>
            <w:r w:rsidRPr="00230A84">
              <w:rPr>
                <w:rFonts w:ascii="Times New Roman" w:eastAsia="Times New Roman" w:hAnsi="Times New Roman"/>
              </w:rPr>
              <w:t xml:space="preserve"> (</w:t>
            </w:r>
            <w:r w:rsidRPr="00230A84">
              <w:rPr>
                <w:rFonts w:ascii="Symbol" w:eastAsia="Times New Roman" w:hAnsi="Symbol"/>
              </w:rPr>
              <w:t></w:t>
            </w:r>
            <w:r w:rsidRPr="00230A84">
              <w:rPr>
                <w:rFonts w:ascii="Times New Roman" w:eastAsia="Times New Roman" w:hAnsi="Times New Roman"/>
              </w:rPr>
              <w:t>M)</w:t>
            </w:r>
            <w:bookmarkEnd w:id="77"/>
          </w:p>
        </w:tc>
        <w:tc>
          <w:tcPr>
            <w:tcW w:w="2028" w:type="dxa"/>
            <w:tcBorders>
              <w:top w:val="thinThickThinSmallGap" w:sz="24" w:space="0" w:color="auto"/>
              <w:bottom w:val="double" w:sz="6" w:space="0" w:color="auto"/>
            </w:tcBorders>
          </w:tcPr>
          <w:p w14:paraId="55EBB241" w14:textId="77777777" w:rsidR="00BE7BA3" w:rsidRPr="00230A84" w:rsidRDefault="00BE7BA3" w:rsidP="00A01DB1">
            <w:pPr>
              <w:keepNext/>
              <w:keepLines/>
              <w:spacing w:before="120" w:after="120" w:line="360" w:lineRule="auto"/>
              <w:jc w:val="center"/>
              <w:outlineLvl w:val="2"/>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rPr>
            </w:pPr>
            <w:bookmarkStart w:id="78" w:name="_Toc64567861"/>
            <w:r w:rsidRPr="00230A84">
              <w:rPr>
                <w:rFonts w:ascii="Times New Roman" w:eastAsia="Times New Roman" w:hAnsi="Times New Roman"/>
              </w:rPr>
              <w:t>k</w:t>
            </w:r>
            <w:r w:rsidRPr="00230A84">
              <w:rPr>
                <w:rFonts w:ascii="Times New Roman" w:eastAsia="Times New Roman" w:hAnsi="Times New Roman"/>
                <w:vertAlign w:val="subscript"/>
              </w:rPr>
              <w:t>i</w:t>
            </w:r>
            <w:r w:rsidRPr="00230A84">
              <w:rPr>
                <w:rFonts w:ascii="Times New Roman" w:eastAsia="Times New Roman" w:hAnsi="Times New Roman"/>
              </w:rPr>
              <w:t xml:space="preserve"> ortalama±σ</w:t>
            </w:r>
            <w:bookmarkEnd w:id="78"/>
          </w:p>
        </w:tc>
        <w:tc>
          <w:tcPr>
            <w:tcW w:w="1318" w:type="dxa"/>
            <w:tcBorders>
              <w:top w:val="thinThickThinSmallGap" w:sz="24" w:space="0" w:color="auto"/>
              <w:bottom w:val="double" w:sz="6" w:space="0" w:color="auto"/>
              <w:right w:val="nil"/>
            </w:tcBorders>
          </w:tcPr>
          <w:p w14:paraId="4E2249C5" w14:textId="77777777" w:rsidR="00BE7BA3" w:rsidRPr="00230A84" w:rsidRDefault="00BE7BA3" w:rsidP="00A01DB1">
            <w:pPr>
              <w:keepNext/>
              <w:keepLines/>
              <w:spacing w:before="120" w:after="120" w:line="360" w:lineRule="auto"/>
              <w:jc w:val="center"/>
              <w:outlineLvl w:val="2"/>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rPr>
            </w:pPr>
            <w:bookmarkStart w:id="79" w:name="_Toc64567862"/>
            <w:r w:rsidRPr="00230A84">
              <w:rPr>
                <w:rFonts w:ascii="Times New Roman" w:eastAsia="Times New Roman" w:hAnsi="Times New Roman"/>
              </w:rPr>
              <w:t>İnhibisyon türü</w:t>
            </w:r>
            <w:bookmarkEnd w:id="79"/>
          </w:p>
        </w:tc>
      </w:tr>
      <w:tr w:rsidR="00BE7BA3" w:rsidRPr="007943A0" w14:paraId="443F39FF" w14:textId="77777777" w:rsidTr="00CC46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85" w:type="dxa"/>
            <w:tcBorders>
              <w:top w:val="thinThickThinSmallGap" w:sz="12" w:space="0" w:color="auto"/>
              <w:left w:val="nil"/>
            </w:tcBorders>
          </w:tcPr>
          <w:p w14:paraId="6692F71C" w14:textId="1C92621F" w:rsidR="00BE7BA3" w:rsidRPr="00230A84" w:rsidRDefault="00B00760" w:rsidP="00714A99">
            <w:pPr>
              <w:keepNext/>
              <w:keepLines/>
              <w:spacing w:before="120" w:after="120" w:line="360" w:lineRule="auto"/>
              <w:jc w:val="center"/>
              <w:outlineLvl w:val="2"/>
              <w:rPr>
                <w:rFonts w:ascii="Times New Roman" w:eastAsia="Times New Roman" w:hAnsi="Times New Roman"/>
                <w:b w:val="0"/>
              </w:rPr>
            </w:pPr>
            <w:bookmarkStart w:id="80" w:name="_Toc64567863"/>
            <w:r w:rsidRPr="00230A84">
              <w:rPr>
                <w:rFonts w:ascii="Times New Roman" w:eastAsia="Times New Roman" w:hAnsi="Times New Roman"/>
                <w:b w:val="0"/>
              </w:rPr>
              <w:t>(1-metil-4-hidroksi-4-fenilpiperidin-3-il)</w:t>
            </w:r>
            <w:r w:rsidR="00BE7BA3" w:rsidRPr="00230A84">
              <w:rPr>
                <w:rFonts w:ascii="Times New Roman" w:eastAsia="Times New Roman" w:hAnsi="Times New Roman"/>
                <w:b w:val="0"/>
              </w:rPr>
              <w:t>(fenil) metanon</w:t>
            </w:r>
            <w:bookmarkEnd w:id="80"/>
          </w:p>
        </w:tc>
        <w:tc>
          <w:tcPr>
            <w:tcW w:w="1358" w:type="dxa"/>
            <w:tcBorders>
              <w:top w:val="thinThickThinSmallGap" w:sz="12" w:space="0" w:color="auto"/>
            </w:tcBorders>
          </w:tcPr>
          <w:p w14:paraId="2F1EE5CF" w14:textId="77777777" w:rsidR="00BE7BA3" w:rsidRPr="00230A84" w:rsidRDefault="00BE7BA3" w:rsidP="00A01DB1">
            <w:pPr>
              <w:keepNext/>
              <w:keepLines/>
              <w:spacing w:before="120" w:after="120" w:line="360" w:lineRule="auto"/>
              <w:jc w:val="center"/>
              <w:outlineLvl w:val="2"/>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rPr>
            </w:pPr>
            <w:bookmarkStart w:id="81" w:name="_Toc64567864"/>
            <w:r w:rsidRPr="00230A84">
              <w:rPr>
                <w:rFonts w:ascii="Times New Roman" w:eastAsia="Times New Roman" w:hAnsi="Times New Roman"/>
              </w:rPr>
              <w:t>4.584</w:t>
            </w:r>
            <w:bookmarkEnd w:id="81"/>
          </w:p>
        </w:tc>
        <w:tc>
          <w:tcPr>
            <w:tcW w:w="2028" w:type="dxa"/>
            <w:tcBorders>
              <w:top w:val="thinThickThinSmallGap" w:sz="12" w:space="0" w:color="auto"/>
            </w:tcBorders>
          </w:tcPr>
          <w:p w14:paraId="4F62FA9C" w14:textId="77777777" w:rsidR="00BE7BA3" w:rsidRPr="00230A84" w:rsidRDefault="00BE7BA3" w:rsidP="00A01DB1">
            <w:pPr>
              <w:keepNext/>
              <w:keepLines/>
              <w:spacing w:before="120" w:after="120" w:line="360" w:lineRule="auto"/>
              <w:jc w:val="center"/>
              <w:outlineLvl w:val="2"/>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rPr>
            </w:pPr>
            <w:bookmarkStart w:id="82" w:name="_Toc64567865"/>
            <w:r w:rsidRPr="00230A84">
              <w:rPr>
                <w:rFonts w:ascii="Times New Roman" w:eastAsia="Times New Roman" w:hAnsi="Times New Roman"/>
              </w:rPr>
              <w:t>0.00344±0.00071</w:t>
            </w:r>
            <w:bookmarkEnd w:id="82"/>
          </w:p>
        </w:tc>
        <w:tc>
          <w:tcPr>
            <w:tcW w:w="1318" w:type="dxa"/>
            <w:tcBorders>
              <w:top w:val="thinThickThinSmallGap" w:sz="12" w:space="0" w:color="auto"/>
              <w:right w:val="nil"/>
            </w:tcBorders>
          </w:tcPr>
          <w:p w14:paraId="2335064B" w14:textId="77777777" w:rsidR="00BE7BA3" w:rsidRPr="00230A84" w:rsidRDefault="00BE7BA3" w:rsidP="00A01DB1">
            <w:pPr>
              <w:keepNext/>
              <w:keepLines/>
              <w:spacing w:before="120" w:after="120" w:line="360" w:lineRule="auto"/>
              <w:jc w:val="center"/>
              <w:outlineLvl w:val="2"/>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rPr>
            </w:pPr>
            <w:bookmarkStart w:id="83" w:name="_Toc64567866"/>
            <w:r w:rsidRPr="00230A84">
              <w:rPr>
                <w:rFonts w:ascii="Times New Roman" w:eastAsia="Times New Roman" w:hAnsi="Times New Roman"/>
              </w:rPr>
              <w:t>Yarışmasız</w:t>
            </w:r>
            <w:bookmarkEnd w:id="83"/>
          </w:p>
        </w:tc>
      </w:tr>
      <w:tr w:rsidR="00BE7BA3" w:rsidRPr="007943A0" w14:paraId="32806438" w14:textId="77777777" w:rsidTr="00CC463A">
        <w:tc>
          <w:tcPr>
            <w:cnfStyle w:val="001000000000" w:firstRow="0" w:lastRow="0" w:firstColumn="1" w:lastColumn="0" w:oddVBand="0" w:evenVBand="0" w:oddHBand="0" w:evenHBand="0" w:firstRowFirstColumn="0" w:firstRowLastColumn="0" w:lastRowFirstColumn="0" w:lastRowLastColumn="0"/>
            <w:tcW w:w="4085" w:type="dxa"/>
            <w:tcBorders>
              <w:left w:val="nil"/>
              <w:bottom w:val="double" w:sz="6" w:space="0" w:color="auto"/>
            </w:tcBorders>
          </w:tcPr>
          <w:p w14:paraId="48A0C1CE" w14:textId="002A5886" w:rsidR="00BE7BA3" w:rsidRPr="00230A84" w:rsidRDefault="00B00760" w:rsidP="00714A99">
            <w:pPr>
              <w:keepNext/>
              <w:keepLines/>
              <w:spacing w:before="120" w:after="120" w:line="360" w:lineRule="auto"/>
              <w:jc w:val="center"/>
              <w:outlineLvl w:val="2"/>
              <w:rPr>
                <w:rFonts w:ascii="Times New Roman" w:eastAsia="Times New Roman" w:hAnsi="Times New Roman"/>
                <w:b w:val="0"/>
              </w:rPr>
            </w:pPr>
            <w:bookmarkStart w:id="84" w:name="_Toc64567867"/>
            <w:r w:rsidRPr="00230A84">
              <w:rPr>
                <w:rFonts w:ascii="Times New Roman" w:eastAsia="Times New Roman" w:hAnsi="Times New Roman"/>
                <w:b w:val="0"/>
              </w:rPr>
              <w:t>(1-etil-4-hidroksi-4-fenilpiperidin-3-il)</w:t>
            </w:r>
            <w:r w:rsidR="00BE7BA3" w:rsidRPr="00230A84">
              <w:rPr>
                <w:rFonts w:ascii="Times New Roman" w:eastAsia="Times New Roman" w:hAnsi="Times New Roman"/>
                <w:b w:val="0"/>
              </w:rPr>
              <w:t>(fenil) metanon</w:t>
            </w:r>
            <w:bookmarkEnd w:id="84"/>
          </w:p>
        </w:tc>
        <w:tc>
          <w:tcPr>
            <w:tcW w:w="1358" w:type="dxa"/>
            <w:tcBorders>
              <w:bottom w:val="double" w:sz="6" w:space="0" w:color="auto"/>
            </w:tcBorders>
          </w:tcPr>
          <w:p w14:paraId="5A37D154" w14:textId="36BA05F8" w:rsidR="00BE7BA3" w:rsidRPr="00230A84" w:rsidRDefault="001F0318" w:rsidP="00A01DB1">
            <w:pPr>
              <w:keepNext/>
              <w:keepLines/>
              <w:spacing w:before="120" w:after="120" w:line="360" w:lineRule="auto"/>
              <w:jc w:val="center"/>
              <w:outlineLvl w:val="2"/>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rPr>
            </w:pPr>
            <w:bookmarkStart w:id="85" w:name="_Toc64567868"/>
            <w:r w:rsidRPr="00230A84">
              <w:rPr>
                <w:rFonts w:ascii="Times New Roman" w:eastAsia="Times New Roman" w:hAnsi="Times New Roman"/>
              </w:rPr>
              <w:t>4.</w:t>
            </w:r>
            <w:r w:rsidR="00BE7BA3" w:rsidRPr="00230A84">
              <w:rPr>
                <w:rFonts w:ascii="Times New Roman" w:eastAsia="Times New Roman" w:hAnsi="Times New Roman"/>
              </w:rPr>
              <w:t>312</w:t>
            </w:r>
            <w:bookmarkEnd w:id="85"/>
          </w:p>
        </w:tc>
        <w:tc>
          <w:tcPr>
            <w:tcW w:w="2028" w:type="dxa"/>
            <w:tcBorders>
              <w:bottom w:val="double" w:sz="6" w:space="0" w:color="auto"/>
            </w:tcBorders>
          </w:tcPr>
          <w:p w14:paraId="2A666706" w14:textId="77777777" w:rsidR="00BE7BA3" w:rsidRPr="00230A84" w:rsidRDefault="00BE7BA3" w:rsidP="00A01DB1">
            <w:pPr>
              <w:keepNext/>
              <w:keepLines/>
              <w:spacing w:before="120" w:after="120" w:line="360" w:lineRule="auto"/>
              <w:jc w:val="center"/>
              <w:outlineLvl w:val="2"/>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rPr>
            </w:pPr>
            <w:bookmarkStart w:id="86" w:name="_Toc64567869"/>
            <w:r w:rsidRPr="00230A84">
              <w:rPr>
                <w:rFonts w:ascii="Times New Roman" w:eastAsia="Times New Roman" w:hAnsi="Times New Roman"/>
              </w:rPr>
              <w:t>0.003047±0.00060</w:t>
            </w:r>
            <w:bookmarkEnd w:id="86"/>
          </w:p>
        </w:tc>
        <w:tc>
          <w:tcPr>
            <w:tcW w:w="1318" w:type="dxa"/>
            <w:tcBorders>
              <w:bottom w:val="double" w:sz="6" w:space="0" w:color="auto"/>
              <w:right w:val="nil"/>
            </w:tcBorders>
          </w:tcPr>
          <w:p w14:paraId="358B0D0C" w14:textId="77777777" w:rsidR="00BE7BA3" w:rsidRPr="00230A84" w:rsidRDefault="00BE7BA3" w:rsidP="00A01DB1">
            <w:pPr>
              <w:keepNext/>
              <w:keepLines/>
              <w:spacing w:before="120" w:after="120" w:line="360" w:lineRule="auto"/>
              <w:jc w:val="center"/>
              <w:outlineLvl w:val="2"/>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rPr>
            </w:pPr>
            <w:bookmarkStart w:id="87" w:name="_Toc64567870"/>
            <w:r w:rsidRPr="00230A84">
              <w:rPr>
                <w:rFonts w:ascii="Times New Roman" w:eastAsia="Times New Roman" w:hAnsi="Times New Roman"/>
              </w:rPr>
              <w:t>Yarışmasız</w:t>
            </w:r>
            <w:bookmarkEnd w:id="87"/>
          </w:p>
        </w:tc>
      </w:tr>
    </w:tbl>
    <w:p w14:paraId="3E7BCDBA" w14:textId="77777777" w:rsidR="007A54B7" w:rsidRDefault="007A54B7" w:rsidP="007A54B7">
      <w:pPr>
        <w:widowControl w:val="0"/>
        <w:spacing w:after="0" w:line="240" w:lineRule="auto"/>
        <w:jc w:val="both"/>
        <w:rPr>
          <w:rFonts w:eastAsia="Calibri"/>
          <w:color w:val="auto"/>
        </w:rPr>
      </w:pPr>
    </w:p>
    <w:p w14:paraId="28E124FE" w14:textId="77777777" w:rsidR="007A54B7" w:rsidRDefault="007A54B7" w:rsidP="007A54B7">
      <w:pPr>
        <w:widowControl w:val="0"/>
        <w:spacing w:after="0" w:line="240" w:lineRule="auto"/>
        <w:jc w:val="both"/>
        <w:rPr>
          <w:rFonts w:eastAsia="Calibri"/>
          <w:color w:val="auto"/>
        </w:rPr>
      </w:pPr>
    </w:p>
    <w:p w14:paraId="6054EAB4" w14:textId="77777777" w:rsidR="007A54B7" w:rsidRDefault="007A54B7" w:rsidP="007A54B7">
      <w:pPr>
        <w:widowControl w:val="0"/>
        <w:spacing w:after="0" w:line="240" w:lineRule="auto"/>
        <w:jc w:val="both"/>
        <w:rPr>
          <w:rFonts w:eastAsia="Calibri"/>
          <w:color w:val="auto"/>
        </w:rPr>
      </w:pPr>
    </w:p>
    <w:p w14:paraId="34BCF1B4" w14:textId="77777777" w:rsidR="007A54B7" w:rsidRDefault="007A54B7" w:rsidP="007A54B7">
      <w:pPr>
        <w:widowControl w:val="0"/>
        <w:spacing w:after="0" w:line="240" w:lineRule="auto"/>
        <w:jc w:val="both"/>
        <w:rPr>
          <w:rFonts w:eastAsia="Calibri"/>
          <w:color w:val="auto"/>
        </w:rPr>
      </w:pPr>
    </w:p>
    <w:p w14:paraId="4F9158F6" w14:textId="77777777" w:rsidR="007A54B7" w:rsidRDefault="007A54B7" w:rsidP="007A54B7">
      <w:pPr>
        <w:widowControl w:val="0"/>
        <w:spacing w:after="0" w:line="240" w:lineRule="auto"/>
        <w:jc w:val="both"/>
        <w:rPr>
          <w:rFonts w:eastAsia="Calibri"/>
          <w:color w:val="auto"/>
        </w:rPr>
      </w:pPr>
    </w:p>
    <w:p w14:paraId="160EB5A7" w14:textId="77777777" w:rsidR="007A54B7" w:rsidRDefault="007A54B7" w:rsidP="007A54B7">
      <w:pPr>
        <w:widowControl w:val="0"/>
        <w:spacing w:after="0" w:line="240" w:lineRule="auto"/>
        <w:jc w:val="both"/>
        <w:rPr>
          <w:rFonts w:eastAsia="Calibri"/>
          <w:color w:val="auto"/>
        </w:rPr>
      </w:pPr>
    </w:p>
    <w:p w14:paraId="4D5B8ACE" w14:textId="77777777" w:rsidR="007A54B7" w:rsidRDefault="007A54B7" w:rsidP="007A54B7">
      <w:pPr>
        <w:widowControl w:val="0"/>
        <w:spacing w:after="0" w:line="240" w:lineRule="auto"/>
        <w:jc w:val="both"/>
        <w:rPr>
          <w:rFonts w:eastAsia="Calibri"/>
          <w:color w:val="auto"/>
        </w:rPr>
      </w:pPr>
    </w:p>
    <w:p w14:paraId="3DF805B4" w14:textId="77777777" w:rsidR="007A54B7" w:rsidRDefault="007A54B7" w:rsidP="007A54B7">
      <w:pPr>
        <w:widowControl w:val="0"/>
        <w:spacing w:after="0" w:line="240" w:lineRule="auto"/>
        <w:jc w:val="both"/>
        <w:rPr>
          <w:rFonts w:eastAsia="Calibri"/>
          <w:color w:val="auto"/>
        </w:rPr>
      </w:pPr>
    </w:p>
    <w:p w14:paraId="7EDEFCE1" w14:textId="2E902320" w:rsidR="007A54B7" w:rsidRDefault="007943A0" w:rsidP="007A54B7">
      <w:pPr>
        <w:pStyle w:val="Balk6"/>
        <w:spacing w:before="0" w:after="0" w:line="240" w:lineRule="auto"/>
        <w:ind w:left="1191" w:hanging="624"/>
        <w:rPr>
          <w:lang w:eastAsia="en-US"/>
        </w:rPr>
      </w:pPr>
      <w:bookmarkStart w:id="88" w:name="_Toc64567871"/>
      <w:r w:rsidRPr="007943A0">
        <w:rPr>
          <w:lang w:eastAsia="en-US"/>
        </w:rPr>
        <w:lastRenderedPageBreak/>
        <w:t>3.1.2. Bütirilkolinesteraz Enzimi Üzerinde İnhibisyon Etkisi Gösteren Piperidin Türevi Maddeler ile İlgili Sonuçlar</w:t>
      </w:r>
      <w:bookmarkEnd w:id="88"/>
    </w:p>
    <w:p w14:paraId="6AA05232" w14:textId="77777777" w:rsidR="007A54B7" w:rsidRPr="007A54B7" w:rsidRDefault="007A54B7" w:rsidP="007A54B7">
      <w:pPr>
        <w:spacing w:after="0" w:line="360" w:lineRule="auto"/>
        <w:rPr>
          <w:lang w:eastAsia="en-US"/>
        </w:rPr>
      </w:pPr>
    </w:p>
    <w:p w14:paraId="57527D82" w14:textId="482310EC" w:rsidR="00DC51C4" w:rsidRDefault="007943A0" w:rsidP="005B72C0">
      <w:pPr>
        <w:keepNext/>
        <w:keepLines/>
        <w:spacing w:after="0" w:line="360" w:lineRule="auto"/>
        <w:ind w:firstLine="567"/>
        <w:jc w:val="both"/>
        <w:outlineLvl w:val="2"/>
        <w:rPr>
          <w:rFonts w:eastAsia="Times New Roman"/>
          <w:color w:val="auto"/>
          <w:lang w:eastAsia="en-US"/>
        </w:rPr>
      </w:pPr>
      <w:bookmarkStart w:id="89" w:name="_Toc64567872"/>
      <w:r w:rsidRPr="007943A0">
        <w:rPr>
          <w:rFonts w:eastAsia="Times New Roman"/>
          <w:color w:val="auto"/>
          <w:lang w:eastAsia="en-US"/>
        </w:rPr>
        <w:t>Bütirilkolinesteraz enzimi için; doygun substrat konsantrasyonlarında piperidin türevi bileşiklerin inhibisyon etkileri incelendi. Ellman ve arkadaşları (1961) tarafından geliştirilen yöntemle ölçümler yapıldı. İnhibisyon görülen her mo</w:t>
      </w:r>
      <w:r w:rsidR="00A33286">
        <w:rPr>
          <w:rFonts w:eastAsia="Times New Roman"/>
          <w:color w:val="auto"/>
          <w:lang w:eastAsia="en-US"/>
        </w:rPr>
        <w:t xml:space="preserve">lekül için Aktivite (%)-[I] ve </w:t>
      </w:r>
      <w:r w:rsidR="00A33286" w:rsidRPr="00A33286">
        <w:rPr>
          <w:rFonts w:eastAsia="Times New Roman"/>
          <w:color w:val="auto"/>
          <w:lang w:eastAsia="en-US"/>
        </w:rPr>
        <w:t xml:space="preserve">Lineweaver-Burk </w:t>
      </w:r>
      <w:r w:rsidR="00A33286">
        <w:rPr>
          <w:rFonts w:eastAsia="Times New Roman"/>
          <w:color w:val="auto"/>
          <w:lang w:eastAsia="en-US"/>
        </w:rPr>
        <w:t xml:space="preserve">grafikleri </w:t>
      </w:r>
      <w:r w:rsidRPr="007943A0">
        <w:rPr>
          <w:rFonts w:eastAsia="Times New Roman"/>
          <w:color w:val="auto"/>
          <w:lang w:eastAsia="en-US"/>
        </w:rPr>
        <w:t>çizildi. Çizilen grafiklerden IC</w:t>
      </w:r>
      <w:r w:rsidRPr="007943A0">
        <w:rPr>
          <w:rFonts w:eastAsia="Times New Roman"/>
          <w:color w:val="auto"/>
          <w:vertAlign w:val="subscript"/>
          <w:lang w:eastAsia="en-US"/>
        </w:rPr>
        <w:t>50</w:t>
      </w:r>
      <w:r w:rsidR="00341D50">
        <w:rPr>
          <w:rFonts w:eastAsia="Times New Roman"/>
          <w:color w:val="auto"/>
          <w:lang w:eastAsia="en-US"/>
        </w:rPr>
        <w:t xml:space="preserve"> ve k</w:t>
      </w:r>
      <w:r w:rsidRPr="00341D50">
        <w:rPr>
          <w:rFonts w:eastAsia="Times New Roman"/>
          <w:color w:val="auto"/>
          <w:vertAlign w:val="subscript"/>
          <w:lang w:eastAsia="en-US"/>
        </w:rPr>
        <w:t xml:space="preserve">i </w:t>
      </w:r>
      <w:r w:rsidRPr="007943A0">
        <w:rPr>
          <w:rFonts w:eastAsia="Times New Roman"/>
          <w:color w:val="auto"/>
          <w:lang w:eastAsia="en-US"/>
        </w:rPr>
        <w:t>değerleri hesaplandı.</w:t>
      </w:r>
      <w:bookmarkEnd w:id="89"/>
    </w:p>
    <w:p w14:paraId="044D14B1" w14:textId="77777777" w:rsidR="005B72C0" w:rsidRDefault="005B72C0" w:rsidP="005B72C0">
      <w:pPr>
        <w:keepNext/>
        <w:keepLines/>
        <w:spacing w:after="0" w:line="240" w:lineRule="auto"/>
        <w:ind w:firstLine="567"/>
        <w:jc w:val="both"/>
        <w:outlineLvl w:val="2"/>
        <w:rPr>
          <w:rFonts w:eastAsia="Times New Roman"/>
          <w:color w:val="auto"/>
          <w:lang w:eastAsia="en-US"/>
        </w:rPr>
      </w:pPr>
    </w:p>
    <w:p w14:paraId="611088AA" w14:textId="77777777" w:rsidR="005B72C0" w:rsidRPr="00DC51C4" w:rsidRDefault="005B72C0" w:rsidP="005B72C0">
      <w:pPr>
        <w:keepNext/>
        <w:keepLines/>
        <w:spacing w:after="0" w:line="240" w:lineRule="auto"/>
        <w:ind w:firstLine="567"/>
        <w:jc w:val="both"/>
        <w:outlineLvl w:val="2"/>
        <w:rPr>
          <w:rFonts w:eastAsia="Times New Roman"/>
          <w:color w:val="auto"/>
          <w:lang w:eastAsia="en-US"/>
        </w:rPr>
      </w:pPr>
    </w:p>
    <w:p w14:paraId="254169A0" w14:textId="77777777" w:rsidR="007943A0" w:rsidRDefault="007943A0" w:rsidP="007943A0">
      <w:pPr>
        <w:widowControl w:val="0"/>
        <w:spacing w:after="0" w:line="240" w:lineRule="auto"/>
        <w:rPr>
          <w:rFonts w:ascii="Calibri" w:eastAsia="Calibri" w:hAnsi="Calibri"/>
          <w:color w:val="auto"/>
          <w:sz w:val="22"/>
          <w:szCs w:val="22"/>
          <w:lang w:eastAsia="en-US"/>
        </w:rPr>
      </w:pPr>
      <w:r w:rsidRPr="007943A0">
        <w:rPr>
          <w:rFonts w:ascii="Calibri" w:eastAsia="Calibri" w:hAnsi="Calibri"/>
          <w:noProof/>
          <w:color w:val="auto"/>
          <w:sz w:val="22"/>
          <w:szCs w:val="22"/>
        </w:rPr>
        <w:drawing>
          <wp:inline distT="0" distB="0" distL="0" distR="0" wp14:anchorId="70BFA822" wp14:editId="023B85AA">
            <wp:extent cx="5582285" cy="2538319"/>
            <wp:effectExtent l="0" t="0" r="18415" b="14605"/>
            <wp:docPr id="61" name="Grafik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8356D5A" w14:textId="77777777" w:rsidR="00771668" w:rsidRPr="007943A0" w:rsidRDefault="00771668" w:rsidP="007943A0">
      <w:pPr>
        <w:widowControl w:val="0"/>
        <w:spacing w:after="0" w:line="240" w:lineRule="auto"/>
        <w:rPr>
          <w:rFonts w:ascii="Calibri" w:eastAsia="Calibri" w:hAnsi="Calibri"/>
          <w:color w:val="auto"/>
          <w:sz w:val="22"/>
          <w:szCs w:val="22"/>
          <w:lang w:eastAsia="en-US"/>
        </w:rPr>
      </w:pPr>
    </w:p>
    <w:p w14:paraId="597DEE53" w14:textId="77777777" w:rsidR="007943A0" w:rsidRPr="007943A0" w:rsidRDefault="007943A0" w:rsidP="0015234E">
      <w:pPr>
        <w:widowControl w:val="0"/>
        <w:spacing w:after="0" w:line="240" w:lineRule="auto"/>
        <w:ind w:left="1021" w:hanging="1021"/>
        <w:jc w:val="both"/>
        <w:rPr>
          <w:rFonts w:eastAsia="Calibri"/>
          <w:color w:val="auto"/>
        </w:rPr>
      </w:pPr>
      <w:r w:rsidRPr="007943A0">
        <w:rPr>
          <w:rFonts w:eastAsia="Calibri"/>
          <w:color w:val="auto"/>
          <w:lang w:val="en-US" w:eastAsia="en-US"/>
        </w:rPr>
        <w:t>Şekil 3.5.</w:t>
      </w:r>
      <w:r w:rsidRPr="007943A0">
        <w:rPr>
          <w:rFonts w:eastAsia="Calibri"/>
          <w:b/>
          <w:color w:val="auto"/>
          <w:lang w:val="en-US" w:eastAsia="en-US"/>
        </w:rPr>
        <w:t xml:space="preserve"> (</w:t>
      </w:r>
      <w:r w:rsidRPr="007943A0">
        <w:rPr>
          <w:rFonts w:eastAsia="Calibri"/>
          <w:color w:val="auto"/>
          <w:lang w:val="en-US" w:eastAsia="en-US"/>
        </w:rPr>
        <w:t>1-metil-4-hidroksi-4-fenilpiperidin-3-il)(fenil)metanon bileşiğinin BChE enzimi üzerindeki etkisini belirlemek amacıyla beş farklı inhibitor konstrasyonunda çizilen Aktivite(%)-[Konsantrasyon] grafiği</w:t>
      </w:r>
    </w:p>
    <w:p w14:paraId="4F2CBFC4" w14:textId="77777777" w:rsidR="007943A0" w:rsidRPr="007943A0" w:rsidRDefault="007943A0" w:rsidP="007943A0">
      <w:pPr>
        <w:widowControl w:val="0"/>
        <w:spacing w:before="120" w:after="120" w:line="240" w:lineRule="auto"/>
        <w:ind w:left="1191" w:hanging="1191"/>
        <w:jc w:val="both"/>
        <w:rPr>
          <w:rFonts w:eastAsia="Calibri"/>
          <w:color w:val="auto"/>
        </w:rPr>
      </w:pPr>
    </w:p>
    <w:p w14:paraId="02C5A556" w14:textId="77777777" w:rsidR="007943A0" w:rsidRPr="007943A0" w:rsidRDefault="007943A0" w:rsidP="007943A0">
      <w:pPr>
        <w:widowControl w:val="0"/>
        <w:spacing w:after="0" w:line="240" w:lineRule="auto"/>
        <w:rPr>
          <w:rFonts w:ascii="Calibri" w:eastAsia="Calibri" w:hAnsi="Calibri"/>
          <w:color w:val="auto"/>
          <w:sz w:val="22"/>
          <w:szCs w:val="22"/>
          <w:lang w:eastAsia="en-US"/>
        </w:rPr>
      </w:pPr>
    </w:p>
    <w:p w14:paraId="736493A1" w14:textId="77777777" w:rsidR="007943A0" w:rsidRDefault="007943A0" w:rsidP="007943A0">
      <w:pPr>
        <w:widowControl w:val="0"/>
        <w:spacing w:after="0" w:line="240" w:lineRule="auto"/>
        <w:rPr>
          <w:rFonts w:ascii="Calibri" w:eastAsia="Calibri" w:hAnsi="Calibri"/>
          <w:color w:val="auto"/>
          <w:sz w:val="22"/>
          <w:szCs w:val="22"/>
          <w:lang w:eastAsia="en-US"/>
        </w:rPr>
      </w:pPr>
      <w:r w:rsidRPr="007943A0">
        <w:rPr>
          <w:rFonts w:ascii="Calibri" w:eastAsia="Calibri" w:hAnsi="Calibri"/>
          <w:noProof/>
          <w:color w:val="auto"/>
          <w:sz w:val="22"/>
          <w:szCs w:val="22"/>
        </w:rPr>
        <w:lastRenderedPageBreak/>
        <w:drawing>
          <wp:inline distT="0" distB="0" distL="0" distR="0" wp14:anchorId="7AE50608" wp14:editId="598ED080">
            <wp:extent cx="5582285" cy="3092631"/>
            <wp:effectExtent l="0" t="0" r="18415" b="12700"/>
            <wp:docPr id="62" name="Grafik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4B10244" w14:textId="77777777" w:rsidR="00771668" w:rsidRPr="007943A0" w:rsidRDefault="00771668" w:rsidP="007943A0">
      <w:pPr>
        <w:widowControl w:val="0"/>
        <w:spacing w:after="0" w:line="240" w:lineRule="auto"/>
        <w:rPr>
          <w:rFonts w:ascii="Calibri" w:eastAsia="Calibri" w:hAnsi="Calibri"/>
          <w:color w:val="auto"/>
          <w:sz w:val="22"/>
          <w:szCs w:val="22"/>
          <w:lang w:eastAsia="en-US"/>
        </w:rPr>
      </w:pPr>
    </w:p>
    <w:p w14:paraId="7B9E29AA" w14:textId="5D08C2F4" w:rsidR="005B72C0" w:rsidRDefault="007943A0" w:rsidP="005B72C0">
      <w:pPr>
        <w:widowControl w:val="0"/>
        <w:spacing w:after="0" w:line="240" w:lineRule="auto"/>
        <w:ind w:left="1304" w:hanging="1304"/>
        <w:jc w:val="both"/>
        <w:rPr>
          <w:rFonts w:eastAsia="Calibri"/>
          <w:color w:val="auto"/>
        </w:rPr>
      </w:pPr>
      <w:r w:rsidRPr="007943A0">
        <w:rPr>
          <w:rFonts w:eastAsia="Calibri"/>
          <w:color w:val="auto"/>
        </w:rPr>
        <w:t>Şekil 3.6. (1-metil-4-hidroksi-4-fenil piperidin-3-il)(fenil)metanon bileşiğinin BChE enzimi üzerindeki etkisini belirlemek amacıyla beş farklı substrat konsantrasyonu ve üç farklı inhibitör konsantrasyonunda ç</w:t>
      </w:r>
      <w:r w:rsidR="00DC51C4">
        <w:rPr>
          <w:rFonts w:eastAsia="Calibri"/>
          <w:color w:val="auto"/>
        </w:rPr>
        <w:t>izilen Lineweaver-Burk grafiği</w:t>
      </w:r>
    </w:p>
    <w:p w14:paraId="342BF3D7" w14:textId="77777777" w:rsidR="005B72C0" w:rsidRDefault="005B72C0" w:rsidP="005B72C0">
      <w:pPr>
        <w:widowControl w:val="0"/>
        <w:spacing w:after="0" w:line="240" w:lineRule="auto"/>
        <w:ind w:left="1304" w:hanging="1304"/>
        <w:jc w:val="both"/>
        <w:rPr>
          <w:rFonts w:eastAsia="Calibri"/>
          <w:color w:val="auto"/>
        </w:rPr>
      </w:pPr>
    </w:p>
    <w:p w14:paraId="153659D9" w14:textId="77777777" w:rsidR="005B72C0" w:rsidRPr="00113F90" w:rsidRDefault="005B72C0" w:rsidP="005B72C0">
      <w:pPr>
        <w:widowControl w:val="0"/>
        <w:spacing w:after="0" w:line="360" w:lineRule="auto"/>
        <w:ind w:left="1304" w:hanging="1304"/>
        <w:jc w:val="both"/>
        <w:rPr>
          <w:rFonts w:eastAsia="Calibri"/>
          <w:color w:val="auto"/>
        </w:rPr>
      </w:pPr>
    </w:p>
    <w:p w14:paraId="2DABEACF" w14:textId="77777777" w:rsidR="007943A0" w:rsidRDefault="007943A0" w:rsidP="007943A0">
      <w:pPr>
        <w:widowControl w:val="0"/>
        <w:spacing w:after="0" w:line="240" w:lineRule="auto"/>
        <w:rPr>
          <w:rFonts w:ascii="Calibri" w:eastAsia="Calibri" w:hAnsi="Calibri"/>
          <w:color w:val="auto"/>
          <w:sz w:val="22"/>
          <w:szCs w:val="22"/>
          <w:lang w:eastAsia="en-US"/>
        </w:rPr>
      </w:pPr>
      <w:r w:rsidRPr="007943A0">
        <w:rPr>
          <w:rFonts w:ascii="Calibri" w:eastAsia="Calibri" w:hAnsi="Calibri"/>
          <w:noProof/>
          <w:color w:val="auto"/>
          <w:sz w:val="22"/>
          <w:szCs w:val="22"/>
        </w:rPr>
        <w:drawing>
          <wp:inline distT="0" distB="0" distL="0" distR="0" wp14:anchorId="158FFD94" wp14:editId="4BF76FC2">
            <wp:extent cx="5582285" cy="2538319"/>
            <wp:effectExtent l="0" t="0" r="18415" b="14605"/>
            <wp:docPr id="63" name="Grafik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5B0CC1B" w14:textId="77777777" w:rsidR="00771668" w:rsidRPr="007943A0" w:rsidRDefault="00771668" w:rsidP="007943A0">
      <w:pPr>
        <w:widowControl w:val="0"/>
        <w:spacing w:after="0" w:line="240" w:lineRule="auto"/>
        <w:rPr>
          <w:rFonts w:ascii="Calibri" w:eastAsia="Calibri" w:hAnsi="Calibri"/>
          <w:color w:val="auto"/>
          <w:sz w:val="22"/>
          <w:szCs w:val="22"/>
          <w:lang w:eastAsia="en-US"/>
        </w:rPr>
      </w:pPr>
    </w:p>
    <w:p w14:paraId="375BC3F8" w14:textId="77777777" w:rsidR="007943A0" w:rsidRPr="007943A0" w:rsidRDefault="007943A0" w:rsidP="0015234E">
      <w:pPr>
        <w:widowControl w:val="0"/>
        <w:spacing w:after="0" w:line="240" w:lineRule="auto"/>
        <w:ind w:left="1021" w:hanging="1021"/>
        <w:jc w:val="both"/>
        <w:rPr>
          <w:rFonts w:eastAsia="Calibri"/>
          <w:color w:val="auto"/>
        </w:rPr>
      </w:pPr>
      <w:r w:rsidRPr="007943A0">
        <w:rPr>
          <w:rFonts w:eastAsia="Calibri"/>
          <w:color w:val="auto"/>
          <w:lang w:val="en-US" w:eastAsia="en-US"/>
        </w:rPr>
        <w:t>Şekil 3.7.</w:t>
      </w:r>
      <w:r w:rsidRPr="007943A0">
        <w:rPr>
          <w:rFonts w:eastAsia="Calibri"/>
          <w:b/>
          <w:color w:val="auto"/>
          <w:lang w:val="en-US" w:eastAsia="en-US"/>
        </w:rPr>
        <w:t xml:space="preserve"> (</w:t>
      </w:r>
      <w:r w:rsidRPr="007943A0">
        <w:rPr>
          <w:rFonts w:eastAsia="Calibri"/>
          <w:color w:val="auto"/>
          <w:lang w:val="en-US" w:eastAsia="en-US"/>
        </w:rPr>
        <w:t>1-etil-4-hidroksi-4-fenil piperidin-3-il)(fenil)metanon bileşiğinin BChE enzimi üzerindeki etkisini belirlemek amacıyla beş farklı inhibitor konstrasyonunda çizilen Aktivite(%)-[Konsantrasyon] grafiği</w:t>
      </w:r>
    </w:p>
    <w:p w14:paraId="5679C07B" w14:textId="77777777" w:rsidR="007943A0" w:rsidRPr="007943A0" w:rsidRDefault="007943A0" w:rsidP="007943A0">
      <w:pPr>
        <w:widowControl w:val="0"/>
        <w:spacing w:before="120" w:after="120" w:line="480" w:lineRule="auto"/>
        <w:rPr>
          <w:rFonts w:ascii="Calibri" w:eastAsia="Calibri" w:hAnsi="Calibri"/>
          <w:color w:val="auto"/>
          <w:sz w:val="22"/>
          <w:szCs w:val="22"/>
          <w:lang w:eastAsia="en-US"/>
        </w:rPr>
      </w:pPr>
    </w:p>
    <w:p w14:paraId="17DA2227" w14:textId="77777777" w:rsidR="007943A0" w:rsidRDefault="007943A0" w:rsidP="007943A0">
      <w:pPr>
        <w:widowControl w:val="0"/>
        <w:spacing w:after="0" w:line="240" w:lineRule="auto"/>
        <w:rPr>
          <w:rFonts w:ascii="Calibri" w:eastAsia="Calibri" w:hAnsi="Calibri"/>
          <w:color w:val="auto"/>
          <w:sz w:val="22"/>
          <w:szCs w:val="22"/>
          <w:lang w:eastAsia="en-US"/>
        </w:rPr>
      </w:pPr>
      <w:r w:rsidRPr="007943A0">
        <w:rPr>
          <w:rFonts w:ascii="Calibri" w:eastAsia="Calibri" w:hAnsi="Calibri"/>
          <w:noProof/>
          <w:color w:val="auto"/>
          <w:sz w:val="22"/>
          <w:szCs w:val="22"/>
        </w:rPr>
        <w:lastRenderedPageBreak/>
        <w:drawing>
          <wp:inline distT="0" distB="0" distL="0" distR="0" wp14:anchorId="2385981E" wp14:editId="271C2BF6">
            <wp:extent cx="5582285" cy="3092631"/>
            <wp:effectExtent l="0" t="0" r="18415" b="12700"/>
            <wp:docPr id="64" name="Grafik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A932D1C" w14:textId="77777777" w:rsidR="00771668" w:rsidRPr="007943A0" w:rsidRDefault="00771668" w:rsidP="007943A0">
      <w:pPr>
        <w:widowControl w:val="0"/>
        <w:spacing w:after="0" w:line="240" w:lineRule="auto"/>
        <w:rPr>
          <w:rFonts w:ascii="Calibri" w:eastAsia="Calibri" w:hAnsi="Calibri"/>
          <w:color w:val="auto"/>
          <w:sz w:val="22"/>
          <w:szCs w:val="22"/>
          <w:lang w:eastAsia="en-US"/>
        </w:rPr>
      </w:pPr>
    </w:p>
    <w:p w14:paraId="1BD0DE98" w14:textId="110E7076" w:rsidR="00C66CD9" w:rsidRDefault="007943A0" w:rsidP="00BD52CF">
      <w:pPr>
        <w:widowControl w:val="0"/>
        <w:spacing w:after="0" w:line="240" w:lineRule="auto"/>
        <w:ind w:left="1021" w:hanging="1021"/>
        <w:jc w:val="both"/>
        <w:rPr>
          <w:rFonts w:eastAsia="Calibri"/>
          <w:color w:val="auto"/>
        </w:rPr>
      </w:pPr>
      <w:r w:rsidRPr="007943A0">
        <w:rPr>
          <w:rFonts w:eastAsia="Calibri"/>
          <w:color w:val="auto"/>
        </w:rPr>
        <w:t xml:space="preserve">Şekil 3.8. (1-etil-4-hidroksi-4-fenil piperidin-3-il) (fenil) metanon bileşiğinin BChE enzimi üzerindeki etkisini belirlemek amacıyla beş farklı substrat konsantrasyonu ve üç farklı inhibitör konsantrasyonunda </w:t>
      </w:r>
      <w:r w:rsidR="00113F90">
        <w:rPr>
          <w:rFonts w:eastAsia="Calibri"/>
          <w:color w:val="auto"/>
        </w:rPr>
        <w:t>çizilen Lineweaver-Burk grafiği</w:t>
      </w:r>
    </w:p>
    <w:p w14:paraId="71FD1137" w14:textId="77777777" w:rsidR="00BD52CF" w:rsidRDefault="00BD52CF" w:rsidP="00BD52CF">
      <w:pPr>
        <w:widowControl w:val="0"/>
        <w:spacing w:after="0" w:line="240" w:lineRule="auto"/>
        <w:ind w:left="1021" w:hanging="1021"/>
        <w:jc w:val="both"/>
        <w:rPr>
          <w:rFonts w:eastAsia="Calibri"/>
          <w:color w:val="auto"/>
        </w:rPr>
      </w:pPr>
    </w:p>
    <w:p w14:paraId="148A6D95" w14:textId="77777777" w:rsidR="00BD52CF" w:rsidRPr="007943A0" w:rsidRDefault="00BD52CF" w:rsidP="00BD52CF">
      <w:pPr>
        <w:widowControl w:val="0"/>
        <w:spacing w:after="0" w:line="240" w:lineRule="auto"/>
        <w:ind w:left="1021" w:hanging="1021"/>
        <w:jc w:val="both"/>
        <w:rPr>
          <w:rFonts w:eastAsia="Calibri"/>
          <w:color w:val="auto"/>
        </w:rPr>
      </w:pPr>
    </w:p>
    <w:p w14:paraId="5A7D3B90" w14:textId="77777777" w:rsidR="007943A0" w:rsidRDefault="007943A0" w:rsidP="0015234E">
      <w:pPr>
        <w:widowControl w:val="0"/>
        <w:spacing w:after="0" w:line="240" w:lineRule="auto"/>
        <w:ind w:left="1134" w:hanging="1134"/>
        <w:jc w:val="both"/>
        <w:rPr>
          <w:rFonts w:eastAsia="Calibri"/>
          <w:color w:val="auto"/>
        </w:rPr>
      </w:pPr>
      <w:r w:rsidRPr="007943A0">
        <w:rPr>
          <w:rFonts w:eastAsia="Calibri"/>
          <w:color w:val="auto"/>
        </w:rPr>
        <w:t>Tablo 3.2. Bütürilkolinesteraz enzimi üzerine inhibisyon etkisi gösteren bileşiklerin IC</w:t>
      </w:r>
      <w:r w:rsidRPr="007943A0">
        <w:rPr>
          <w:rFonts w:eastAsia="Calibri"/>
          <w:color w:val="auto"/>
          <w:vertAlign w:val="subscript"/>
        </w:rPr>
        <w:t>50</w:t>
      </w:r>
      <w:r w:rsidRPr="007943A0">
        <w:rPr>
          <w:rFonts w:eastAsia="Calibri"/>
          <w:color w:val="auto"/>
        </w:rPr>
        <w:t xml:space="preserve"> değerleri, k</w:t>
      </w:r>
      <w:r w:rsidRPr="007943A0">
        <w:rPr>
          <w:rFonts w:eastAsia="Calibri"/>
          <w:color w:val="auto"/>
          <w:vertAlign w:val="subscript"/>
        </w:rPr>
        <w:t xml:space="preserve">i </w:t>
      </w:r>
      <w:r w:rsidRPr="007943A0">
        <w:rPr>
          <w:rFonts w:eastAsia="Calibri"/>
          <w:color w:val="auto"/>
        </w:rPr>
        <w:t>değerleri ve inhibisyon türleri</w:t>
      </w:r>
    </w:p>
    <w:p w14:paraId="3FCED0CA" w14:textId="77777777" w:rsidR="00771668" w:rsidRPr="007943A0" w:rsidRDefault="00771668" w:rsidP="0015234E">
      <w:pPr>
        <w:widowControl w:val="0"/>
        <w:spacing w:after="0" w:line="240" w:lineRule="auto"/>
        <w:ind w:left="1134" w:hanging="1134"/>
        <w:jc w:val="both"/>
        <w:rPr>
          <w:rFonts w:eastAsia="Calibri"/>
          <w:color w:val="auto"/>
        </w:rPr>
      </w:pPr>
    </w:p>
    <w:tbl>
      <w:tblPr>
        <w:tblStyle w:val="AkListe-Vurgu31"/>
        <w:tblW w:w="8789" w:type="dxa"/>
        <w:tblInd w:w="108" w:type="dxa"/>
        <w:tblLook w:val="04A0" w:firstRow="1" w:lastRow="0" w:firstColumn="1" w:lastColumn="0" w:noHBand="0" w:noVBand="1"/>
      </w:tblPr>
      <w:tblGrid>
        <w:gridCol w:w="4085"/>
        <w:gridCol w:w="1358"/>
        <w:gridCol w:w="2028"/>
        <w:gridCol w:w="1318"/>
      </w:tblGrid>
      <w:tr w:rsidR="007943A0" w:rsidRPr="007943A0" w14:paraId="488938B2" w14:textId="77777777" w:rsidTr="00CC463A">
        <w:trPr>
          <w:cnfStyle w:val="100000000000" w:firstRow="1" w:lastRow="0" w:firstColumn="0" w:lastColumn="0" w:oddVBand="0" w:evenVBand="0" w:oddHBand="0" w:evenHBand="0" w:firstRowFirstColumn="0" w:firstRowLastColumn="0" w:lastRowFirstColumn="0" w:lastRowLastColumn="0"/>
          <w:trHeight w:val="962"/>
        </w:trPr>
        <w:tc>
          <w:tcPr>
            <w:cnfStyle w:val="001000000000" w:firstRow="0" w:lastRow="0" w:firstColumn="1" w:lastColumn="0" w:oddVBand="0" w:evenVBand="0" w:oddHBand="0" w:evenHBand="0" w:firstRowFirstColumn="0" w:firstRowLastColumn="0" w:lastRowFirstColumn="0" w:lastRowLastColumn="0"/>
            <w:tcW w:w="4085" w:type="dxa"/>
            <w:tcBorders>
              <w:top w:val="thinThickThinSmallGap" w:sz="24" w:space="0" w:color="auto"/>
              <w:bottom w:val="double" w:sz="6" w:space="0" w:color="auto"/>
            </w:tcBorders>
          </w:tcPr>
          <w:p w14:paraId="1162E64C" w14:textId="77777777" w:rsidR="007943A0" w:rsidRPr="00230A84" w:rsidRDefault="007943A0" w:rsidP="00A01DB1">
            <w:pPr>
              <w:keepNext/>
              <w:keepLines/>
              <w:spacing w:before="120" w:after="120" w:line="360" w:lineRule="auto"/>
              <w:jc w:val="center"/>
              <w:outlineLvl w:val="2"/>
              <w:rPr>
                <w:rFonts w:ascii="Times New Roman" w:eastAsia="Times New Roman" w:hAnsi="Times New Roman"/>
              </w:rPr>
            </w:pPr>
            <w:bookmarkStart w:id="90" w:name="_Toc64567873"/>
            <w:r w:rsidRPr="00230A84">
              <w:rPr>
                <w:rFonts w:ascii="Times New Roman" w:eastAsia="Times New Roman" w:hAnsi="Times New Roman"/>
              </w:rPr>
              <w:t>İnhibitör</w:t>
            </w:r>
            <w:bookmarkEnd w:id="90"/>
          </w:p>
          <w:p w14:paraId="1A29A311" w14:textId="77777777" w:rsidR="007943A0" w:rsidRPr="00230A84" w:rsidRDefault="007943A0" w:rsidP="00A01DB1">
            <w:pPr>
              <w:widowControl w:val="0"/>
              <w:jc w:val="center"/>
            </w:pPr>
          </w:p>
        </w:tc>
        <w:tc>
          <w:tcPr>
            <w:tcW w:w="1358" w:type="dxa"/>
            <w:tcBorders>
              <w:top w:val="thinThickThinSmallGap" w:sz="24" w:space="0" w:color="auto"/>
              <w:bottom w:val="double" w:sz="6" w:space="0" w:color="auto"/>
            </w:tcBorders>
          </w:tcPr>
          <w:p w14:paraId="4A617228" w14:textId="77777777" w:rsidR="007943A0" w:rsidRPr="00230A84" w:rsidRDefault="007943A0" w:rsidP="00A01DB1">
            <w:pPr>
              <w:keepNext/>
              <w:keepLines/>
              <w:spacing w:before="120" w:after="120" w:line="360" w:lineRule="auto"/>
              <w:jc w:val="center"/>
              <w:outlineLvl w:val="2"/>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rPr>
            </w:pPr>
            <w:bookmarkStart w:id="91" w:name="_Toc64567874"/>
            <w:r w:rsidRPr="00230A84">
              <w:rPr>
                <w:rFonts w:ascii="Times New Roman" w:eastAsia="Times New Roman" w:hAnsi="Times New Roman"/>
              </w:rPr>
              <w:t>IC</w:t>
            </w:r>
            <w:r w:rsidRPr="00230A84">
              <w:rPr>
                <w:rFonts w:ascii="Times New Roman" w:eastAsia="Times New Roman" w:hAnsi="Times New Roman"/>
                <w:vertAlign w:val="subscript"/>
              </w:rPr>
              <w:t>50</w:t>
            </w:r>
            <w:r w:rsidRPr="00230A84">
              <w:rPr>
                <w:rFonts w:ascii="Times New Roman" w:eastAsia="Times New Roman" w:hAnsi="Times New Roman"/>
              </w:rPr>
              <w:t xml:space="preserve"> (</w:t>
            </w:r>
            <w:r w:rsidRPr="00230A84">
              <w:rPr>
                <w:rFonts w:ascii="Symbol" w:eastAsia="Times New Roman" w:hAnsi="Symbol"/>
              </w:rPr>
              <w:t></w:t>
            </w:r>
            <w:r w:rsidRPr="00230A84">
              <w:rPr>
                <w:rFonts w:ascii="Times New Roman" w:eastAsia="Times New Roman" w:hAnsi="Times New Roman"/>
              </w:rPr>
              <w:t>M)</w:t>
            </w:r>
            <w:bookmarkEnd w:id="91"/>
          </w:p>
        </w:tc>
        <w:tc>
          <w:tcPr>
            <w:tcW w:w="2028" w:type="dxa"/>
            <w:tcBorders>
              <w:top w:val="thinThickThinSmallGap" w:sz="24" w:space="0" w:color="auto"/>
              <w:bottom w:val="double" w:sz="6" w:space="0" w:color="auto"/>
            </w:tcBorders>
          </w:tcPr>
          <w:p w14:paraId="17653E1A" w14:textId="77777777" w:rsidR="007943A0" w:rsidRPr="00230A84" w:rsidRDefault="007943A0" w:rsidP="00A01DB1">
            <w:pPr>
              <w:keepNext/>
              <w:keepLines/>
              <w:spacing w:before="120" w:after="120" w:line="360" w:lineRule="auto"/>
              <w:jc w:val="center"/>
              <w:outlineLvl w:val="2"/>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rPr>
            </w:pPr>
            <w:bookmarkStart w:id="92" w:name="_Toc64567875"/>
            <w:r w:rsidRPr="00230A84">
              <w:rPr>
                <w:rFonts w:ascii="Times New Roman" w:eastAsia="Times New Roman" w:hAnsi="Times New Roman"/>
              </w:rPr>
              <w:t>k</w:t>
            </w:r>
            <w:r w:rsidRPr="00230A84">
              <w:rPr>
                <w:rFonts w:ascii="Times New Roman" w:eastAsia="Times New Roman" w:hAnsi="Times New Roman"/>
                <w:vertAlign w:val="subscript"/>
              </w:rPr>
              <w:t>i</w:t>
            </w:r>
            <w:r w:rsidRPr="00230A84">
              <w:rPr>
                <w:rFonts w:ascii="Times New Roman" w:eastAsia="Times New Roman" w:hAnsi="Times New Roman"/>
              </w:rPr>
              <w:t xml:space="preserve"> ortalama±σ</w:t>
            </w:r>
            <w:bookmarkEnd w:id="92"/>
          </w:p>
        </w:tc>
        <w:tc>
          <w:tcPr>
            <w:tcW w:w="1318" w:type="dxa"/>
            <w:tcBorders>
              <w:top w:val="thinThickThinSmallGap" w:sz="24" w:space="0" w:color="auto"/>
              <w:bottom w:val="double" w:sz="6" w:space="0" w:color="auto"/>
              <w:right w:val="nil"/>
            </w:tcBorders>
          </w:tcPr>
          <w:p w14:paraId="220C2F8F" w14:textId="77777777" w:rsidR="007943A0" w:rsidRPr="00230A84" w:rsidRDefault="007943A0" w:rsidP="00A01DB1">
            <w:pPr>
              <w:keepNext/>
              <w:keepLines/>
              <w:spacing w:before="120" w:after="120" w:line="360" w:lineRule="auto"/>
              <w:jc w:val="center"/>
              <w:outlineLvl w:val="2"/>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rPr>
            </w:pPr>
            <w:bookmarkStart w:id="93" w:name="_Toc64567876"/>
            <w:r w:rsidRPr="00230A84">
              <w:rPr>
                <w:rFonts w:ascii="Times New Roman" w:eastAsia="Times New Roman" w:hAnsi="Times New Roman"/>
              </w:rPr>
              <w:t>İnhibisyon türü</w:t>
            </w:r>
            <w:bookmarkEnd w:id="93"/>
          </w:p>
        </w:tc>
      </w:tr>
      <w:tr w:rsidR="007943A0" w:rsidRPr="007943A0" w14:paraId="34BC6F95" w14:textId="77777777" w:rsidTr="00CC463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85" w:type="dxa"/>
            <w:tcBorders>
              <w:top w:val="thinThickThinSmallGap" w:sz="12" w:space="0" w:color="auto"/>
              <w:left w:val="nil"/>
            </w:tcBorders>
          </w:tcPr>
          <w:p w14:paraId="5350E3E6" w14:textId="77777777" w:rsidR="007943A0" w:rsidRPr="00230A84" w:rsidRDefault="007943A0" w:rsidP="00A01DB1">
            <w:pPr>
              <w:keepNext/>
              <w:keepLines/>
              <w:spacing w:before="120" w:after="120" w:line="360" w:lineRule="auto"/>
              <w:jc w:val="center"/>
              <w:outlineLvl w:val="2"/>
              <w:rPr>
                <w:rFonts w:ascii="Times New Roman" w:eastAsia="Times New Roman" w:hAnsi="Times New Roman"/>
                <w:b w:val="0"/>
              </w:rPr>
            </w:pPr>
            <w:bookmarkStart w:id="94" w:name="_Toc64567877"/>
            <w:r w:rsidRPr="00230A84">
              <w:rPr>
                <w:rFonts w:ascii="Times New Roman" w:eastAsia="Times New Roman" w:hAnsi="Times New Roman"/>
                <w:b w:val="0"/>
              </w:rPr>
              <w:t>(1-metil-4-hidroksi-4-fenilpiperidin-3-il)(fenil)metanon</w:t>
            </w:r>
            <w:bookmarkEnd w:id="94"/>
          </w:p>
        </w:tc>
        <w:tc>
          <w:tcPr>
            <w:tcW w:w="1358" w:type="dxa"/>
            <w:tcBorders>
              <w:top w:val="thinThickThinSmallGap" w:sz="12" w:space="0" w:color="auto"/>
            </w:tcBorders>
          </w:tcPr>
          <w:p w14:paraId="6143C339" w14:textId="77777777" w:rsidR="007943A0" w:rsidRPr="00230A84" w:rsidRDefault="007943A0" w:rsidP="00A01DB1">
            <w:pPr>
              <w:keepNext/>
              <w:keepLines/>
              <w:spacing w:before="120" w:after="120" w:line="360" w:lineRule="auto"/>
              <w:jc w:val="center"/>
              <w:outlineLvl w:val="2"/>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rPr>
            </w:pPr>
            <w:bookmarkStart w:id="95" w:name="_Toc64567878"/>
            <w:r w:rsidRPr="00230A84">
              <w:rPr>
                <w:rFonts w:ascii="Times New Roman" w:eastAsia="Times New Roman" w:hAnsi="Times New Roman"/>
              </w:rPr>
              <w:t>51.448</w:t>
            </w:r>
            <w:bookmarkEnd w:id="95"/>
          </w:p>
        </w:tc>
        <w:tc>
          <w:tcPr>
            <w:tcW w:w="2028" w:type="dxa"/>
            <w:tcBorders>
              <w:top w:val="thinThickThinSmallGap" w:sz="12" w:space="0" w:color="auto"/>
            </w:tcBorders>
          </w:tcPr>
          <w:p w14:paraId="7FA54548" w14:textId="77777777" w:rsidR="007943A0" w:rsidRPr="00230A84" w:rsidRDefault="007943A0" w:rsidP="00A01DB1">
            <w:pPr>
              <w:keepNext/>
              <w:keepLines/>
              <w:spacing w:before="120" w:after="120" w:line="360" w:lineRule="auto"/>
              <w:jc w:val="center"/>
              <w:outlineLvl w:val="2"/>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rPr>
            </w:pPr>
            <w:bookmarkStart w:id="96" w:name="_Toc64567879"/>
            <w:r w:rsidRPr="00230A84">
              <w:rPr>
                <w:rFonts w:ascii="Times New Roman" w:eastAsia="Times New Roman" w:hAnsi="Times New Roman"/>
              </w:rPr>
              <w:t>0.05406±0.01009</w:t>
            </w:r>
            <w:bookmarkEnd w:id="96"/>
          </w:p>
        </w:tc>
        <w:tc>
          <w:tcPr>
            <w:tcW w:w="1318" w:type="dxa"/>
            <w:tcBorders>
              <w:top w:val="thinThickThinSmallGap" w:sz="12" w:space="0" w:color="auto"/>
              <w:right w:val="nil"/>
            </w:tcBorders>
          </w:tcPr>
          <w:p w14:paraId="025FEAB9" w14:textId="77777777" w:rsidR="007943A0" w:rsidRPr="00230A84" w:rsidRDefault="007943A0" w:rsidP="00A01DB1">
            <w:pPr>
              <w:keepNext/>
              <w:keepLines/>
              <w:spacing w:before="120" w:after="120" w:line="360" w:lineRule="auto"/>
              <w:jc w:val="center"/>
              <w:outlineLvl w:val="2"/>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rPr>
            </w:pPr>
            <w:bookmarkStart w:id="97" w:name="_Toc64567880"/>
            <w:r w:rsidRPr="00230A84">
              <w:rPr>
                <w:rFonts w:ascii="Times New Roman" w:eastAsia="Times New Roman" w:hAnsi="Times New Roman"/>
              </w:rPr>
              <w:t>Yarışmasız</w:t>
            </w:r>
            <w:bookmarkEnd w:id="97"/>
          </w:p>
        </w:tc>
      </w:tr>
      <w:tr w:rsidR="007943A0" w:rsidRPr="007943A0" w14:paraId="14584225" w14:textId="77777777" w:rsidTr="00CC463A">
        <w:tc>
          <w:tcPr>
            <w:cnfStyle w:val="001000000000" w:firstRow="0" w:lastRow="0" w:firstColumn="1" w:lastColumn="0" w:oddVBand="0" w:evenVBand="0" w:oddHBand="0" w:evenHBand="0" w:firstRowFirstColumn="0" w:firstRowLastColumn="0" w:lastRowFirstColumn="0" w:lastRowLastColumn="0"/>
            <w:tcW w:w="4085" w:type="dxa"/>
            <w:tcBorders>
              <w:left w:val="nil"/>
              <w:bottom w:val="double" w:sz="6" w:space="0" w:color="auto"/>
            </w:tcBorders>
          </w:tcPr>
          <w:p w14:paraId="3C117FB2" w14:textId="77777777" w:rsidR="007943A0" w:rsidRPr="00230A84" w:rsidRDefault="007943A0" w:rsidP="00A01DB1">
            <w:pPr>
              <w:keepNext/>
              <w:keepLines/>
              <w:spacing w:before="120" w:after="120" w:line="360" w:lineRule="auto"/>
              <w:jc w:val="center"/>
              <w:outlineLvl w:val="2"/>
              <w:rPr>
                <w:rFonts w:ascii="Times New Roman" w:eastAsia="Times New Roman" w:hAnsi="Times New Roman"/>
                <w:b w:val="0"/>
              </w:rPr>
            </w:pPr>
            <w:bookmarkStart w:id="98" w:name="_Toc64567881"/>
            <w:r w:rsidRPr="00230A84">
              <w:rPr>
                <w:rFonts w:ascii="Times New Roman" w:eastAsia="Times New Roman" w:hAnsi="Times New Roman"/>
                <w:b w:val="0"/>
              </w:rPr>
              <w:t>(1-etil-4-hidroksi-4-fenilpiperidin-3-il) (fenil)metanon</w:t>
            </w:r>
            <w:bookmarkEnd w:id="98"/>
          </w:p>
        </w:tc>
        <w:tc>
          <w:tcPr>
            <w:tcW w:w="1358" w:type="dxa"/>
            <w:tcBorders>
              <w:bottom w:val="double" w:sz="6" w:space="0" w:color="auto"/>
            </w:tcBorders>
          </w:tcPr>
          <w:p w14:paraId="065CB4F9" w14:textId="77777777" w:rsidR="007943A0" w:rsidRPr="00230A84" w:rsidRDefault="007943A0" w:rsidP="00A01DB1">
            <w:pPr>
              <w:keepNext/>
              <w:keepLines/>
              <w:spacing w:before="120" w:after="120" w:line="360" w:lineRule="auto"/>
              <w:jc w:val="center"/>
              <w:outlineLvl w:val="2"/>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rPr>
            </w:pPr>
            <w:bookmarkStart w:id="99" w:name="_Toc64567882"/>
            <w:r w:rsidRPr="00230A84">
              <w:rPr>
                <w:rFonts w:ascii="Times New Roman" w:eastAsia="Times New Roman" w:hAnsi="Times New Roman"/>
              </w:rPr>
              <w:t>47.968</w:t>
            </w:r>
            <w:bookmarkEnd w:id="99"/>
          </w:p>
        </w:tc>
        <w:tc>
          <w:tcPr>
            <w:tcW w:w="2028" w:type="dxa"/>
            <w:tcBorders>
              <w:bottom w:val="double" w:sz="6" w:space="0" w:color="auto"/>
            </w:tcBorders>
          </w:tcPr>
          <w:p w14:paraId="2D9757C0" w14:textId="77777777" w:rsidR="007943A0" w:rsidRPr="00230A84" w:rsidRDefault="007943A0" w:rsidP="00A01DB1">
            <w:pPr>
              <w:keepNext/>
              <w:keepLines/>
              <w:spacing w:before="120" w:after="120" w:line="360" w:lineRule="auto"/>
              <w:jc w:val="center"/>
              <w:outlineLvl w:val="2"/>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rPr>
            </w:pPr>
            <w:bookmarkStart w:id="100" w:name="_Toc64567883"/>
            <w:r w:rsidRPr="00230A84">
              <w:rPr>
                <w:rFonts w:ascii="Times New Roman" w:eastAsia="Times New Roman" w:hAnsi="Times New Roman"/>
              </w:rPr>
              <w:t>0.04404±0.05109</w:t>
            </w:r>
            <w:bookmarkEnd w:id="100"/>
          </w:p>
        </w:tc>
        <w:tc>
          <w:tcPr>
            <w:tcW w:w="1318" w:type="dxa"/>
            <w:tcBorders>
              <w:bottom w:val="double" w:sz="6" w:space="0" w:color="auto"/>
              <w:right w:val="nil"/>
            </w:tcBorders>
          </w:tcPr>
          <w:p w14:paraId="220E296F" w14:textId="77777777" w:rsidR="007943A0" w:rsidRPr="00230A84" w:rsidRDefault="007943A0" w:rsidP="00A01DB1">
            <w:pPr>
              <w:keepNext/>
              <w:keepLines/>
              <w:spacing w:before="120" w:after="120" w:line="360" w:lineRule="auto"/>
              <w:jc w:val="center"/>
              <w:outlineLvl w:val="2"/>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rPr>
            </w:pPr>
            <w:bookmarkStart w:id="101" w:name="_Toc64567884"/>
            <w:r w:rsidRPr="00230A84">
              <w:rPr>
                <w:rFonts w:ascii="Times New Roman" w:eastAsia="Times New Roman" w:hAnsi="Times New Roman"/>
              </w:rPr>
              <w:t>Yarışmasız</w:t>
            </w:r>
            <w:bookmarkEnd w:id="101"/>
          </w:p>
        </w:tc>
      </w:tr>
    </w:tbl>
    <w:p w14:paraId="34696317" w14:textId="77777777" w:rsidR="007A54B7" w:rsidRDefault="007A54B7" w:rsidP="007A54B7">
      <w:pPr>
        <w:widowControl w:val="0"/>
        <w:spacing w:after="0" w:line="240" w:lineRule="auto"/>
        <w:rPr>
          <w:rFonts w:ascii="Calibri" w:eastAsia="Calibri" w:hAnsi="Calibri"/>
          <w:color w:val="auto"/>
          <w:sz w:val="22"/>
          <w:szCs w:val="22"/>
          <w:lang w:eastAsia="en-US"/>
        </w:rPr>
      </w:pPr>
    </w:p>
    <w:p w14:paraId="0F9C1253" w14:textId="77777777" w:rsidR="007A54B7" w:rsidRDefault="007A54B7" w:rsidP="007A54B7">
      <w:pPr>
        <w:widowControl w:val="0"/>
        <w:spacing w:after="0" w:line="240" w:lineRule="auto"/>
        <w:rPr>
          <w:rFonts w:ascii="Calibri" w:eastAsia="Calibri" w:hAnsi="Calibri"/>
          <w:color w:val="auto"/>
          <w:sz w:val="22"/>
          <w:szCs w:val="22"/>
          <w:lang w:eastAsia="en-US"/>
        </w:rPr>
      </w:pPr>
    </w:p>
    <w:p w14:paraId="7177C2FB" w14:textId="77777777" w:rsidR="007A54B7" w:rsidRDefault="007A54B7" w:rsidP="007A54B7">
      <w:pPr>
        <w:widowControl w:val="0"/>
        <w:spacing w:after="0" w:line="240" w:lineRule="auto"/>
        <w:rPr>
          <w:rFonts w:ascii="Calibri" w:eastAsia="Calibri" w:hAnsi="Calibri"/>
          <w:color w:val="auto"/>
          <w:sz w:val="22"/>
          <w:szCs w:val="22"/>
          <w:lang w:eastAsia="en-US"/>
        </w:rPr>
      </w:pPr>
    </w:p>
    <w:p w14:paraId="1A80064E" w14:textId="77777777" w:rsidR="007A54B7" w:rsidRDefault="007A54B7" w:rsidP="007A54B7">
      <w:pPr>
        <w:widowControl w:val="0"/>
        <w:spacing w:after="0" w:line="240" w:lineRule="auto"/>
        <w:rPr>
          <w:rFonts w:ascii="Calibri" w:eastAsia="Calibri" w:hAnsi="Calibri"/>
          <w:color w:val="auto"/>
          <w:sz w:val="22"/>
          <w:szCs w:val="22"/>
          <w:lang w:eastAsia="en-US"/>
        </w:rPr>
      </w:pPr>
    </w:p>
    <w:p w14:paraId="3C7EA033" w14:textId="77777777" w:rsidR="007A54B7" w:rsidRDefault="007A54B7" w:rsidP="007A54B7">
      <w:pPr>
        <w:widowControl w:val="0"/>
        <w:spacing w:after="0" w:line="240" w:lineRule="auto"/>
        <w:rPr>
          <w:rFonts w:ascii="Calibri" w:eastAsia="Calibri" w:hAnsi="Calibri"/>
          <w:color w:val="auto"/>
          <w:sz w:val="22"/>
          <w:szCs w:val="22"/>
          <w:lang w:eastAsia="en-US"/>
        </w:rPr>
      </w:pPr>
    </w:p>
    <w:p w14:paraId="60D49167" w14:textId="77777777" w:rsidR="007A54B7" w:rsidRDefault="007A54B7" w:rsidP="007A54B7">
      <w:pPr>
        <w:widowControl w:val="0"/>
        <w:spacing w:after="0" w:line="240" w:lineRule="auto"/>
        <w:rPr>
          <w:rFonts w:ascii="Calibri" w:eastAsia="Calibri" w:hAnsi="Calibri"/>
          <w:color w:val="auto"/>
          <w:sz w:val="22"/>
          <w:szCs w:val="22"/>
          <w:lang w:eastAsia="en-US"/>
        </w:rPr>
      </w:pPr>
    </w:p>
    <w:p w14:paraId="09AFE09B" w14:textId="77777777" w:rsidR="007A54B7" w:rsidRDefault="007A54B7" w:rsidP="007A54B7">
      <w:pPr>
        <w:widowControl w:val="0"/>
        <w:spacing w:after="0" w:line="240" w:lineRule="auto"/>
        <w:rPr>
          <w:rFonts w:ascii="Calibri" w:eastAsia="Calibri" w:hAnsi="Calibri"/>
          <w:color w:val="auto"/>
          <w:sz w:val="22"/>
          <w:szCs w:val="22"/>
          <w:lang w:eastAsia="en-US"/>
        </w:rPr>
      </w:pPr>
    </w:p>
    <w:p w14:paraId="2CCA4A96" w14:textId="5C86C99D" w:rsidR="007A54B7" w:rsidRDefault="00D2790A" w:rsidP="007A54B7">
      <w:pPr>
        <w:pStyle w:val="Balk6"/>
        <w:spacing w:before="0" w:after="0" w:line="240" w:lineRule="auto"/>
        <w:ind w:left="1202" w:hanging="635"/>
        <w:rPr>
          <w:lang w:eastAsia="en-US"/>
        </w:rPr>
      </w:pPr>
      <w:r>
        <w:rPr>
          <w:lang w:eastAsia="en-US"/>
        </w:rPr>
        <w:lastRenderedPageBreak/>
        <w:t>3.1.3</w:t>
      </w:r>
      <w:r w:rsidRPr="007943A0">
        <w:rPr>
          <w:lang w:eastAsia="en-US"/>
        </w:rPr>
        <w:t xml:space="preserve">. </w:t>
      </w:r>
      <w:r w:rsidR="00F83CDD">
        <w:rPr>
          <w:lang w:eastAsia="en-US"/>
        </w:rPr>
        <w:t>Asetilk</w:t>
      </w:r>
      <w:r w:rsidRPr="007943A0">
        <w:rPr>
          <w:lang w:eastAsia="en-US"/>
        </w:rPr>
        <w:t xml:space="preserve">olinesteraz Enzimi Üzerinde İnhibisyon Etkisi Gösteren </w:t>
      </w:r>
      <w:r>
        <w:rPr>
          <w:lang w:eastAsia="en-US"/>
        </w:rPr>
        <w:t xml:space="preserve">Donepezil </w:t>
      </w:r>
      <w:r w:rsidRPr="007943A0">
        <w:rPr>
          <w:lang w:eastAsia="en-US"/>
        </w:rPr>
        <w:t>ile İlgili Sonuçlar</w:t>
      </w:r>
    </w:p>
    <w:p w14:paraId="39F161D4" w14:textId="77777777" w:rsidR="007A54B7" w:rsidRPr="007A54B7" w:rsidRDefault="007A54B7" w:rsidP="007A54B7">
      <w:pPr>
        <w:spacing w:after="0" w:line="360" w:lineRule="auto"/>
        <w:rPr>
          <w:lang w:eastAsia="en-US"/>
        </w:rPr>
      </w:pPr>
    </w:p>
    <w:p w14:paraId="6341CD65" w14:textId="4A490D83" w:rsidR="00DC51C4" w:rsidRDefault="00341D50" w:rsidP="00DC51C4">
      <w:pPr>
        <w:keepNext/>
        <w:keepLines/>
        <w:spacing w:after="0" w:line="360" w:lineRule="auto"/>
        <w:ind w:firstLine="567"/>
        <w:jc w:val="both"/>
        <w:outlineLvl w:val="2"/>
        <w:rPr>
          <w:rFonts w:eastAsia="Times New Roman"/>
          <w:color w:val="auto"/>
          <w:lang w:eastAsia="en-US"/>
        </w:rPr>
      </w:pPr>
      <w:r>
        <w:rPr>
          <w:rFonts w:eastAsia="Times New Roman"/>
          <w:color w:val="auto"/>
          <w:lang w:eastAsia="en-US"/>
        </w:rPr>
        <w:t>Asetilkolinesteraz enzimi</w:t>
      </w:r>
      <w:r w:rsidR="00D2790A" w:rsidRPr="007943A0">
        <w:rPr>
          <w:rFonts w:eastAsia="Times New Roman"/>
          <w:color w:val="auto"/>
          <w:lang w:eastAsia="en-US"/>
        </w:rPr>
        <w:t xml:space="preserve"> için; doygun substrat konsantrasyonlarında </w:t>
      </w:r>
      <w:r w:rsidR="00D2790A">
        <w:rPr>
          <w:rFonts w:eastAsia="Times New Roman"/>
          <w:color w:val="auto"/>
          <w:lang w:eastAsia="en-US"/>
        </w:rPr>
        <w:t>donepezil standart maddesinin</w:t>
      </w:r>
      <w:r>
        <w:rPr>
          <w:rFonts w:eastAsia="Times New Roman"/>
          <w:color w:val="auto"/>
          <w:lang w:eastAsia="en-US"/>
        </w:rPr>
        <w:t xml:space="preserve"> inhibisyon etkisi</w:t>
      </w:r>
      <w:r w:rsidR="00D2790A" w:rsidRPr="007943A0">
        <w:rPr>
          <w:rFonts w:eastAsia="Times New Roman"/>
          <w:color w:val="auto"/>
          <w:lang w:eastAsia="en-US"/>
        </w:rPr>
        <w:t xml:space="preserve"> incelendi. Ellman ve arkadaşları (1961) tarafından geliştirilen yöntemle ölçümler yapıldı. İnhibisyon görülen </w:t>
      </w:r>
      <w:r>
        <w:rPr>
          <w:rFonts w:eastAsia="Times New Roman"/>
          <w:color w:val="auto"/>
          <w:lang w:eastAsia="en-US"/>
        </w:rPr>
        <w:t xml:space="preserve">standart madde için Aktivite (%)-[I] ve </w:t>
      </w:r>
      <w:r w:rsidR="008033FF">
        <w:rPr>
          <w:rFonts w:eastAsia="Times New Roman"/>
          <w:color w:val="auto"/>
          <w:lang w:eastAsia="en-US"/>
        </w:rPr>
        <w:t>Lineweaver-Burk</w:t>
      </w:r>
      <w:r w:rsidR="00D2790A" w:rsidRPr="007943A0">
        <w:rPr>
          <w:rFonts w:eastAsia="Times New Roman"/>
          <w:color w:val="auto"/>
          <w:lang w:eastAsia="en-US"/>
        </w:rPr>
        <w:t xml:space="preserve"> grafiği çizildi. Çizilen grafiklerden IC</w:t>
      </w:r>
      <w:r w:rsidR="00D2790A" w:rsidRPr="007943A0">
        <w:rPr>
          <w:rFonts w:eastAsia="Times New Roman"/>
          <w:color w:val="auto"/>
          <w:vertAlign w:val="subscript"/>
          <w:lang w:eastAsia="en-US"/>
        </w:rPr>
        <w:t>50</w:t>
      </w:r>
      <w:r w:rsidR="00D2790A" w:rsidRPr="007943A0">
        <w:rPr>
          <w:rFonts w:eastAsia="Times New Roman"/>
          <w:color w:val="auto"/>
          <w:lang w:eastAsia="en-US"/>
        </w:rPr>
        <w:t xml:space="preserve"> ve </w:t>
      </w:r>
      <w:r w:rsidR="00D2790A">
        <w:rPr>
          <w:rFonts w:eastAsia="Times New Roman"/>
          <w:color w:val="auto"/>
          <w:lang w:eastAsia="en-US"/>
        </w:rPr>
        <w:t>k</w:t>
      </w:r>
      <w:r w:rsidR="00D2790A" w:rsidRPr="00341D50">
        <w:rPr>
          <w:rFonts w:eastAsia="Times New Roman"/>
          <w:color w:val="auto"/>
          <w:vertAlign w:val="subscript"/>
          <w:lang w:eastAsia="en-US"/>
        </w:rPr>
        <w:t>i</w:t>
      </w:r>
      <w:r w:rsidR="00D2790A" w:rsidRPr="007943A0">
        <w:rPr>
          <w:rFonts w:eastAsia="Times New Roman"/>
          <w:color w:val="auto"/>
          <w:lang w:eastAsia="en-US"/>
        </w:rPr>
        <w:t xml:space="preserve"> değerleri hesaplandı.</w:t>
      </w:r>
    </w:p>
    <w:p w14:paraId="6F984775" w14:textId="77777777" w:rsidR="00DC51C4" w:rsidRDefault="00DC51C4" w:rsidP="005B72C0">
      <w:pPr>
        <w:keepNext/>
        <w:keepLines/>
        <w:spacing w:after="0" w:line="240" w:lineRule="auto"/>
        <w:ind w:firstLine="567"/>
        <w:jc w:val="both"/>
        <w:outlineLvl w:val="2"/>
        <w:rPr>
          <w:rFonts w:eastAsia="Times New Roman"/>
          <w:color w:val="auto"/>
          <w:lang w:eastAsia="en-US"/>
        </w:rPr>
      </w:pPr>
    </w:p>
    <w:p w14:paraId="3FFA50C9" w14:textId="77777777" w:rsidR="00DC51C4" w:rsidRDefault="00DC51C4" w:rsidP="005B72C0">
      <w:pPr>
        <w:keepNext/>
        <w:keepLines/>
        <w:spacing w:after="0" w:line="240" w:lineRule="auto"/>
        <w:ind w:firstLine="567"/>
        <w:jc w:val="both"/>
        <w:outlineLvl w:val="2"/>
        <w:rPr>
          <w:rFonts w:eastAsia="Times New Roman"/>
          <w:color w:val="auto"/>
          <w:lang w:eastAsia="en-US"/>
        </w:rPr>
      </w:pPr>
    </w:p>
    <w:p w14:paraId="2808611E" w14:textId="0A4C97B4" w:rsidR="00B015B6" w:rsidRPr="00B015B6" w:rsidRDefault="001F0318" w:rsidP="00B015B6">
      <w:pPr>
        <w:keepNext/>
        <w:keepLines/>
        <w:spacing w:before="120" w:after="120" w:line="360" w:lineRule="auto"/>
        <w:jc w:val="both"/>
        <w:outlineLvl w:val="2"/>
        <w:rPr>
          <w:rFonts w:eastAsia="Times New Roman"/>
          <w:color w:val="auto"/>
          <w:lang w:eastAsia="en-US"/>
        </w:rPr>
      </w:pPr>
      <w:r>
        <w:rPr>
          <w:noProof/>
        </w:rPr>
        <w:drawing>
          <wp:inline distT="0" distB="0" distL="0" distR="0" wp14:anchorId="376487CB" wp14:editId="676BE583">
            <wp:extent cx="5567680" cy="2898986"/>
            <wp:effectExtent l="0" t="0" r="13970" b="15875"/>
            <wp:docPr id="1"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A39CDF2" w14:textId="117BE29A" w:rsidR="00D2790A" w:rsidRDefault="00D2790A" w:rsidP="0015234E">
      <w:pPr>
        <w:widowControl w:val="0"/>
        <w:spacing w:after="0" w:line="240" w:lineRule="auto"/>
        <w:ind w:left="1077" w:hanging="1077"/>
        <w:jc w:val="both"/>
        <w:rPr>
          <w:rFonts w:eastAsia="Calibri"/>
          <w:color w:val="auto"/>
          <w:lang w:val="en-US" w:eastAsia="en-US"/>
        </w:rPr>
      </w:pPr>
      <w:r w:rsidRPr="00612EE9">
        <w:rPr>
          <w:rFonts w:eastAsia="Calibri"/>
          <w:color w:val="auto"/>
          <w:lang w:val="en-US" w:eastAsia="en-US"/>
        </w:rPr>
        <w:t>Şekil 3.9.</w:t>
      </w:r>
      <w:r>
        <w:rPr>
          <w:rFonts w:eastAsia="Calibri"/>
          <w:b/>
          <w:color w:val="auto"/>
          <w:lang w:val="en-US" w:eastAsia="en-US"/>
        </w:rPr>
        <w:t xml:space="preserve"> </w:t>
      </w:r>
      <w:r w:rsidRPr="00D2790A">
        <w:rPr>
          <w:rFonts w:eastAsia="Calibri"/>
          <w:color w:val="auto"/>
          <w:lang w:val="en-US" w:eastAsia="en-US"/>
        </w:rPr>
        <w:t xml:space="preserve">Donepezilin </w:t>
      </w:r>
      <w:r>
        <w:rPr>
          <w:rFonts w:eastAsia="Calibri"/>
          <w:color w:val="auto"/>
          <w:lang w:val="en-US" w:eastAsia="en-US"/>
        </w:rPr>
        <w:t>A</w:t>
      </w:r>
      <w:r w:rsidRPr="007943A0">
        <w:rPr>
          <w:rFonts w:eastAsia="Calibri"/>
          <w:color w:val="auto"/>
          <w:lang w:val="en-US" w:eastAsia="en-US"/>
        </w:rPr>
        <w:t>ChE enzimi üzerindeki etkisini belirlemek amacıyla beş farklı inhibitor konstrasyonunda çizilen Aktivite(%)-[Konsantrasyon] grafiği</w:t>
      </w:r>
    </w:p>
    <w:p w14:paraId="7F156E15" w14:textId="77777777" w:rsidR="00B015B6" w:rsidRDefault="00B015B6" w:rsidP="00D2790A">
      <w:pPr>
        <w:widowControl w:val="0"/>
        <w:spacing w:before="120" w:after="120" w:line="240" w:lineRule="auto"/>
        <w:ind w:left="1021" w:hanging="1021"/>
        <w:jc w:val="both"/>
        <w:rPr>
          <w:rFonts w:eastAsia="Calibri"/>
          <w:color w:val="auto"/>
          <w:lang w:val="en-US" w:eastAsia="en-US"/>
        </w:rPr>
      </w:pPr>
    </w:p>
    <w:p w14:paraId="305169BA" w14:textId="77777777" w:rsidR="00771668" w:rsidRDefault="00B015B6" w:rsidP="00771668">
      <w:pPr>
        <w:widowControl w:val="0"/>
        <w:spacing w:before="120" w:after="120" w:line="240" w:lineRule="auto"/>
        <w:ind w:left="1021" w:hanging="1021"/>
        <w:jc w:val="both"/>
        <w:rPr>
          <w:rFonts w:eastAsia="Calibri"/>
          <w:color w:val="auto"/>
        </w:rPr>
      </w:pPr>
      <w:r>
        <w:rPr>
          <w:noProof/>
        </w:rPr>
        <w:lastRenderedPageBreak/>
        <w:drawing>
          <wp:inline distT="0" distB="0" distL="0" distR="0" wp14:anchorId="56D2BFEC" wp14:editId="7497264D">
            <wp:extent cx="5582285" cy="3074233"/>
            <wp:effectExtent l="0" t="0" r="18415" b="12065"/>
            <wp:docPr id="2"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E6B1750" w14:textId="3E51CB14" w:rsidR="00113F90" w:rsidRDefault="00B015B6" w:rsidP="00771668">
      <w:pPr>
        <w:widowControl w:val="0"/>
        <w:spacing w:before="120" w:after="120" w:line="240" w:lineRule="auto"/>
        <w:ind w:left="1021" w:hanging="1021"/>
        <w:jc w:val="both"/>
        <w:rPr>
          <w:rFonts w:eastAsia="Calibri"/>
          <w:color w:val="auto"/>
        </w:rPr>
      </w:pPr>
      <w:r>
        <w:rPr>
          <w:rFonts w:eastAsia="Calibri"/>
          <w:color w:val="auto"/>
        </w:rPr>
        <w:t>Şekil 3.10</w:t>
      </w:r>
      <w:r w:rsidRPr="007943A0">
        <w:rPr>
          <w:rFonts w:eastAsia="Calibri"/>
          <w:color w:val="auto"/>
        </w:rPr>
        <w:t xml:space="preserve">. </w:t>
      </w:r>
      <w:r>
        <w:rPr>
          <w:rFonts w:eastAsia="Calibri"/>
          <w:color w:val="auto"/>
        </w:rPr>
        <w:t>Donepezilin A</w:t>
      </w:r>
      <w:r w:rsidRPr="007943A0">
        <w:rPr>
          <w:rFonts w:eastAsia="Calibri"/>
          <w:color w:val="auto"/>
        </w:rPr>
        <w:t>ChE enzimi üzerindeki etkisini belirlemek amacıyla beş farklı substrat konsantrasyonu ve üç farklı inhibitör konsantrasyonunda çizilen Lineweaver-Burk grafiği</w:t>
      </w:r>
    </w:p>
    <w:p w14:paraId="117DC541" w14:textId="77777777" w:rsidR="00DC51C4" w:rsidRDefault="00DC51C4" w:rsidP="00DC51C4">
      <w:pPr>
        <w:widowControl w:val="0"/>
        <w:spacing w:after="0" w:line="240" w:lineRule="auto"/>
        <w:ind w:left="1191" w:hanging="1191"/>
        <w:jc w:val="both"/>
        <w:rPr>
          <w:rFonts w:eastAsia="Calibri"/>
          <w:color w:val="auto"/>
        </w:rPr>
      </w:pPr>
    </w:p>
    <w:p w14:paraId="21050E3B" w14:textId="77777777" w:rsidR="00DC51C4" w:rsidRPr="007943A0" w:rsidRDefault="00DC51C4" w:rsidP="00DC51C4">
      <w:pPr>
        <w:widowControl w:val="0"/>
        <w:spacing w:after="0" w:line="240" w:lineRule="auto"/>
        <w:ind w:left="1191" w:hanging="1191"/>
        <w:jc w:val="both"/>
        <w:rPr>
          <w:rFonts w:eastAsia="Calibri"/>
          <w:color w:val="auto"/>
        </w:rPr>
      </w:pPr>
    </w:p>
    <w:p w14:paraId="549C8830" w14:textId="5A19B16D" w:rsidR="00B015B6" w:rsidRDefault="00B015B6" w:rsidP="0015234E">
      <w:pPr>
        <w:widowControl w:val="0"/>
        <w:spacing w:after="0" w:line="240" w:lineRule="auto"/>
        <w:ind w:left="1134" w:hanging="1134"/>
        <w:jc w:val="both"/>
        <w:rPr>
          <w:rFonts w:eastAsia="Calibri"/>
          <w:color w:val="auto"/>
        </w:rPr>
      </w:pPr>
      <w:r>
        <w:rPr>
          <w:rFonts w:eastAsia="Calibri"/>
          <w:color w:val="auto"/>
        </w:rPr>
        <w:t>Tablo 3.3</w:t>
      </w:r>
      <w:r w:rsidRPr="007943A0">
        <w:rPr>
          <w:rFonts w:eastAsia="Calibri"/>
          <w:color w:val="auto"/>
        </w:rPr>
        <w:t xml:space="preserve">. </w:t>
      </w:r>
      <w:r>
        <w:rPr>
          <w:rFonts w:eastAsia="Calibri"/>
          <w:color w:val="auto"/>
        </w:rPr>
        <w:t>Asetilkolinesteraz</w:t>
      </w:r>
      <w:r w:rsidRPr="007943A0">
        <w:rPr>
          <w:rFonts w:eastAsia="Calibri"/>
          <w:color w:val="auto"/>
        </w:rPr>
        <w:t xml:space="preserve"> enzimi üzerine inhibisyon etkisi gösteren </w:t>
      </w:r>
      <w:r>
        <w:rPr>
          <w:rFonts w:eastAsia="Calibri"/>
          <w:color w:val="auto"/>
        </w:rPr>
        <w:t>donepezilin</w:t>
      </w:r>
      <w:r w:rsidRPr="007943A0">
        <w:rPr>
          <w:rFonts w:eastAsia="Calibri"/>
          <w:color w:val="auto"/>
        </w:rPr>
        <w:t xml:space="preserve"> IC</w:t>
      </w:r>
      <w:r w:rsidRPr="007943A0">
        <w:rPr>
          <w:rFonts w:eastAsia="Calibri"/>
          <w:color w:val="auto"/>
          <w:vertAlign w:val="subscript"/>
        </w:rPr>
        <w:t>50</w:t>
      </w:r>
      <w:r>
        <w:rPr>
          <w:rFonts w:eastAsia="Calibri"/>
          <w:color w:val="auto"/>
        </w:rPr>
        <w:t xml:space="preserve"> değeri</w:t>
      </w:r>
      <w:r w:rsidRPr="007943A0">
        <w:rPr>
          <w:rFonts w:eastAsia="Calibri"/>
          <w:color w:val="auto"/>
        </w:rPr>
        <w:t>, k</w:t>
      </w:r>
      <w:r w:rsidRPr="007943A0">
        <w:rPr>
          <w:rFonts w:eastAsia="Calibri"/>
          <w:color w:val="auto"/>
          <w:vertAlign w:val="subscript"/>
        </w:rPr>
        <w:t xml:space="preserve">i </w:t>
      </w:r>
      <w:r>
        <w:rPr>
          <w:rFonts w:eastAsia="Calibri"/>
          <w:color w:val="auto"/>
        </w:rPr>
        <w:t>değeri</w:t>
      </w:r>
      <w:r w:rsidRPr="007943A0">
        <w:rPr>
          <w:rFonts w:eastAsia="Calibri"/>
          <w:color w:val="auto"/>
        </w:rPr>
        <w:t xml:space="preserve"> ve inhibisyon tür</w:t>
      </w:r>
      <w:r>
        <w:rPr>
          <w:rFonts w:eastAsia="Calibri"/>
          <w:color w:val="auto"/>
        </w:rPr>
        <w:t>ü</w:t>
      </w:r>
    </w:p>
    <w:p w14:paraId="62E8952E" w14:textId="77777777" w:rsidR="00771668" w:rsidRDefault="00771668" w:rsidP="0015234E">
      <w:pPr>
        <w:widowControl w:val="0"/>
        <w:spacing w:after="0" w:line="240" w:lineRule="auto"/>
        <w:ind w:left="1134" w:hanging="1134"/>
        <w:jc w:val="both"/>
        <w:rPr>
          <w:rFonts w:eastAsia="Calibri"/>
          <w:color w:val="auto"/>
        </w:rPr>
      </w:pPr>
    </w:p>
    <w:tbl>
      <w:tblPr>
        <w:tblStyle w:val="AkListe-Vurgu31"/>
        <w:tblW w:w="0" w:type="auto"/>
        <w:tblLook w:val="04A0" w:firstRow="1" w:lastRow="0" w:firstColumn="1" w:lastColumn="0" w:noHBand="0" w:noVBand="1"/>
      </w:tblPr>
      <w:tblGrid>
        <w:gridCol w:w="4085"/>
        <w:gridCol w:w="1358"/>
        <w:gridCol w:w="2028"/>
        <w:gridCol w:w="1536"/>
      </w:tblGrid>
      <w:tr w:rsidR="00B015B6" w:rsidRPr="007943A0" w14:paraId="16740377" w14:textId="77777777" w:rsidTr="00256ECF">
        <w:trPr>
          <w:cnfStyle w:val="100000000000" w:firstRow="1" w:lastRow="0" w:firstColumn="0" w:lastColumn="0" w:oddVBand="0" w:evenVBand="0" w:oddHBand="0" w:evenHBand="0" w:firstRowFirstColumn="0" w:firstRowLastColumn="0" w:lastRowFirstColumn="0" w:lastRowLastColumn="0"/>
          <w:trHeight w:val="962"/>
        </w:trPr>
        <w:tc>
          <w:tcPr>
            <w:cnfStyle w:val="001000000000" w:firstRow="0" w:lastRow="0" w:firstColumn="1" w:lastColumn="0" w:oddVBand="0" w:evenVBand="0" w:oddHBand="0" w:evenHBand="0" w:firstRowFirstColumn="0" w:firstRowLastColumn="0" w:lastRowFirstColumn="0" w:lastRowLastColumn="0"/>
            <w:tcW w:w="4085" w:type="dxa"/>
            <w:tcBorders>
              <w:top w:val="thinThickThinSmallGap" w:sz="24" w:space="0" w:color="auto"/>
              <w:bottom w:val="double" w:sz="6" w:space="0" w:color="auto"/>
            </w:tcBorders>
          </w:tcPr>
          <w:p w14:paraId="720DBFB4" w14:textId="77777777" w:rsidR="00B015B6" w:rsidRPr="007943A0" w:rsidRDefault="00B015B6" w:rsidP="00714A99">
            <w:pPr>
              <w:keepNext/>
              <w:keepLines/>
              <w:spacing w:before="120" w:after="120" w:line="360" w:lineRule="auto"/>
              <w:jc w:val="center"/>
              <w:outlineLvl w:val="2"/>
              <w:rPr>
                <w:rFonts w:ascii="Times New Roman" w:eastAsia="Times New Roman" w:hAnsi="Times New Roman"/>
              </w:rPr>
            </w:pPr>
            <w:r w:rsidRPr="007943A0">
              <w:rPr>
                <w:rFonts w:ascii="Times New Roman" w:eastAsia="Times New Roman" w:hAnsi="Times New Roman"/>
              </w:rPr>
              <w:t>İnhibitör</w:t>
            </w:r>
          </w:p>
          <w:p w14:paraId="14804824" w14:textId="77777777" w:rsidR="00B015B6" w:rsidRPr="007943A0" w:rsidRDefault="00B015B6" w:rsidP="00714A99">
            <w:pPr>
              <w:widowControl w:val="0"/>
              <w:jc w:val="center"/>
            </w:pPr>
          </w:p>
        </w:tc>
        <w:tc>
          <w:tcPr>
            <w:tcW w:w="1358" w:type="dxa"/>
            <w:tcBorders>
              <w:top w:val="thinThickThinSmallGap" w:sz="24" w:space="0" w:color="auto"/>
              <w:bottom w:val="double" w:sz="6" w:space="0" w:color="auto"/>
            </w:tcBorders>
          </w:tcPr>
          <w:p w14:paraId="185C4859" w14:textId="77777777" w:rsidR="00B015B6" w:rsidRPr="007943A0" w:rsidRDefault="00B015B6" w:rsidP="00714A99">
            <w:pPr>
              <w:keepNext/>
              <w:keepLines/>
              <w:spacing w:before="120" w:after="120" w:line="360" w:lineRule="auto"/>
              <w:jc w:val="center"/>
              <w:outlineLvl w:val="2"/>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rPr>
            </w:pPr>
            <w:r w:rsidRPr="007943A0">
              <w:rPr>
                <w:rFonts w:ascii="Times New Roman" w:eastAsia="Times New Roman" w:hAnsi="Times New Roman"/>
              </w:rPr>
              <w:t>IC</w:t>
            </w:r>
            <w:r w:rsidRPr="007943A0">
              <w:rPr>
                <w:rFonts w:ascii="Times New Roman" w:eastAsia="Times New Roman" w:hAnsi="Times New Roman"/>
                <w:vertAlign w:val="subscript"/>
              </w:rPr>
              <w:t>50</w:t>
            </w:r>
            <w:r w:rsidRPr="007943A0">
              <w:rPr>
                <w:rFonts w:ascii="Times New Roman" w:eastAsia="Times New Roman" w:hAnsi="Times New Roman"/>
              </w:rPr>
              <w:t xml:space="preserve"> (</w:t>
            </w:r>
            <w:r w:rsidRPr="007943A0">
              <w:rPr>
                <w:rFonts w:ascii="Symbol" w:eastAsia="Times New Roman" w:hAnsi="Symbol"/>
              </w:rPr>
              <w:t></w:t>
            </w:r>
            <w:r w:rsidRPr="007943A0">
              <w:rPr>
                <w:rFonts w:ascii="Times New Roman" w:eastAsia="Times New Roman" w:hAnsi="Times New Roman"/>
              </w:rPr>
              <w:t>M)</w:t>
            </w:r>
          </w:p>
        </w:tc>
        <w:tc>
          <w:tcPr>
            <w:tcW w:w="2028" w:type="dxa"/>
            <w:tcBorders>
              <w:top w:val="thinThickThinSmallGap" w:sz="24" w:space="0" w:color="auto"/>
              <w:bottom w:val="double" w:sz="6" w:space="0" w:color="auto"/>
            </w:tcBorders>
          </w:tcPr>
          <w:p w14:paraId="27504BCF" w14:textId="77777777" w:rsidR="00B015B6" w:rsidRPr="007943A0" w:rsidRDefault="00B015B6" w:rsidP="00714A99">
            <w:pPr>
              <w:keepNext/>
              <w:keepLines/>
              <w:spacing w:before="120" w:after="120" w:line="360" w:lineRule="auto"/>
              <w:jc w:val="center"/>
              <w:outlineLvl w:val="2"/>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rPr>
            </w:pPr>
            <w:r w:rsidRPr="007943A0">
              <w:rPr>
                <w:rFonts w:ascii="Times New Roman" w:eastAsia="Times New Roman" w:hAnsi="Times New Roman"/>
              </w:rPr>
              <w:t>k</w:t>
            </w:r>
            <w:r w:rsidRPr="007943A0">
              <w:rPr>
                <w:rFonts w:ascii="Times New Roman" w:eastAsia="Times New Roman" w:hAnsi="Times New Roman"/>
                <w:vertAlign w:val="subscript"/>
              </w:rPr>
              <w:t>i</w:t>
            </w:r>
            <w:r w:rsidRPr="007943A0">
              <w:rPr>
                <w:rFonts w:ascii="Times New Roman" w:eastAsia="Times New Roman" w:hAnsi="Times New Roman"/>
              </w:rPr>
              <w:t xml:space="preserve"> ortalama±σ</w:t>
            </w:r>
          </w:p>
        </w:tc>
        <w:tc>
          <w:tcPr>
            <w:tcW w:w="1536" w:type="dxa"/>
            <w:tcBorders>
              <w:top w:val="thinThickThinSmallGap" w:sz="24" w:space="0" w:color="auto"/>
              <w:bottom w:val="double" w:sz="6" w:space="0" w:color="auto"/>
              <w:right w:val="nil"/>
            </w:tcBorders>
          </w:tcPr>
          <w:p w14:paraId="4E7916FF" w14:textId="77777777" w:rsidR="00B015B6" w:rsidRPr="007943A0" w:rsidRDefault="00B015B6" w:rsidP="00714A99">
            <w:pPr>
              <w:keepNext/>
              <w:keepLines/>
              <w:spacing w:before="120" w:after="120" w:line="360" w:lineRule="auto"/>
              <w:jc w:val="center"/>
              <w:outlineLvl w:val="2"/>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rPr>
            </w:pPr>
            <w:r w:rsidRPr="007943A0">
              <w:rPr>
                <w:rFonts w:ascii="Times New Roman" w:eastAsia="Times New Roman" w:hAnsi="Times New Roman"/>
              </w:rPr>
              <w:t>İnhibisyon türü</w:t>
            </w:r>
          </w:p>
        </w:tc>
      </w:tr>
      <w:tr w:rsidR="00B015B6" w:rsidRPr="007943A0" w14:paraId="7402930A" w14:textId="77777777" w:rsidTr="00256E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85" w:type="dxa"/>
            <w:tcBorders>
              <w:left w:val="nil"/>
              <w:bottom w:val="double" w:sz="6" w:space="0" w:color="auto"/>
            </w:tcBorders>
          </w:tcPr>
          <w:p w14:paraId="436E5428" w14:textId="03F8D93A" w:rsidR="00B015B6" w:rsidRPr="00B00760" w:rsidRDefault="00B015B6" w:rsidP="00714A99">
            <w:pPr>
              <w:keepNext/>
              <w:keepLines/>
              <w:spacing w:before="120" w:after="120" w:line="360" w:lineRule="auto"/>
              <w:jc w:val="center"/>
              <w:outlineLvl w:val="2"/>
              <w:rPr>
                <w:rFonts w:ascii="Times New Roman" w:eastAsia="Times New Roman" w:hAnsi="Times New Roman"/>
                <w:b w:val="0"/>
              </w:rPr>
            </w:pPr>
            <w:r w:rsidRPr="00B00760">
              <w:rPr>
                <w:rFonts w:ascii="Times New Roman" w:eastAsia="Times New Roman" w:hAnsi="Times New Roman"/>
                <w:b w:val="0"/>
              </w:rPr>
              <w:t>Donepezil</w:t>
            </w:r>
          </w:p>
        </w:tc>
        <w:tc>
          <w:tcPr>
            <w:tcW w:w="1358" w:type="dxa"/>
            <w:tcBorders>
              <w:bottom w:val="double" w:sz="6" w:space="0" w:color="auto"/>
            </w:tcBorders>
          </w:tcPr>
          <w:p w14:paraId="7A9F62F6" w14:textId="5A7F16BD" w:rsidR="00B015B6" w:rsidRPr="007943A0" w:rsidRDefault="00B015B6" w:rsidP="00714A99">
            <w:pPr>
              <w:keepNext/>
              <w:keepLines/>
              <w:spacing w:before="120" w:after="120" w:line="360" w:lineRule="auto"/>
              <w:jc w:val="center"/>
              <w:outlineLvl w:val="2"/>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rPr>
            </w:pPr>
            <w:r>
              <w:rPr>
                <w:rFonts w:ascii="Times New Roman" w:eastAsia="Times New Roman" w:hAnsi="Times New Roman"/>
              </w:rPr>
              <w:t>0.032</w:t>
            </w:r>
          </w:p>
        </w:tc>
        <w:tc>
          <w:tcPr>
            <w:tcW w:w="2028" w:type="dxa"/>
            <w:tcBorders>
              <w:bottom w:val="double" w:sz="6" w:space="0" w:color="auto"/>
            </w:tcBorders>
          </w:tcPr>
          <w:p w14:paraId="4FA46ECD" w14:textId="515A8EE4" w:rsidR="00B015B6" w:rsidRPr="007943A0" w:rsidRDefault="002005AE" w:rsidP="00714A99">
            <w:pPr>
              <w:keepNext/>
              <w:keepLines/>
              <w:spacing w:before="120" w:after="120" w:line="360" w:lineRule="auto"/>
              <w:jc w:val="center"/>
              <w:outlineLvl w:val="2"/>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rPr>
            </w:pPr>
            <w:r>
              <w:rPr>
                <w:rFonts w:ascii="Times New Roman" w:eastAsia="Times New Roman" w:hAnsi="Times New Roman"/>
              </w:rPr>
              <w:t>0.00004±0.00000</w:t>
            </w:r>
          </w:p>
        </w:tc>
        <w:tc>
          <w:tcPr>
            <w:tcW w:w="1536" w:type="dxa"/>
            <w:tcBorders>
              <w:bottom w:val="double" w:sz="6" w:space="0" w:color="auto"/>
              <w:right w:val="nil"/>
            </w:tcBorders>
          </w:tcPr>
          <w:p w14:paraId="723B9CFD" w14:textId="77777777" w:rsidR="00B015B6" w:rsidRPr="007943A0" w:rsidRDefault="00B015B6" w:rsidP="00714A99">
            <w:pPr>
              <w:keepNext/>
              <w:keepLines/>
              <w:spacing w:before="120" w:after="120" w:line="360" w:lineRule="auto"/>
              <w:jc w:val="center"/>
              <w:outlineLvl w:val="2"/>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rPr>
            </w:pPr>
            <w:r w:rsidRPr="007943A0">
              <w:rPr>
                <w:rFonts w:ascii="Times New Roman" w:eastAsia="Times New Roman" w:hAnsi="Times New Roman"/>
              </w:rPr>
              <w:t>Yarışmasız</w:t>
            </w:r>
          </w:p>
        </w:tc>
      </w:tr>
    </w:tbl>
    <w:p w14:paraId="46CFDDBF" w14:textId="77777777" w:rsidR="009D31CC" w:rsidRDefault="009D31CC" w:rsidP="009D31CC">
      <w:pPr>
        <w:pStyle w:val="balk20"/>
        <w:spacing w:before="0" w:after="0" w:line="240" w:lineRule="auto"/>
        <w:ind w:firstLine="0"/>
        <w:rPr>
          <w:rFonts w:eastAsia="Times New Roman"/>
          <w:lang w:eastAsia="en-US"/>
        </w:rPr>
      </w:pPr>
      <w:bookmarkStart w:id="102" w:name="_Toc64567885"/>
    </w:p>
    <w:p w14:paraId="59FFB494" w14:textId="77777777" w:rsidR="00DC51C4" w:rsidRDefault="00DC51C4" w:rsidP="009D31CC">
      <w:pPr>
        <w:pStyle w:val="balk20"/>
        <w:spacing w:before="0" w:after="0" w:line="240" w:lineRule="auto"/>
        <w:ind w:firstLine="0"/>
        <w:rPr>
          <w:rFonts w:eastAsia="Times New Roman"/>
          <w:lang w:eastAsia="en-US"/>
        </w:rPr>
      </w:pPr>
    </w:p>
    <w:p w14:paraId="41BF6A5E" w14:textId="77777777" w:rsidR="00DC51C4" w:rsidRDefault="00DC51C4" w:rsidP="009D31CC">
      <w:pPr>
        <w:pStyle w:val="balk20"/>
        <w:spacing w:before="0" w:after="0" w:line="240" w:lineRule="auto"/>
        <w:ind w:firstLine="0"/>
        <w:rPr>
          <w:rFonts w:eastAsia="Times New Roman"/>
          <w:lang w:eastAsia="en-US"/>
        </w:rPr>
      </w:pPr>
    </w:p>
    <w:p w14:paraId="096B9A1F" w14:textId="77777777" w:rsidR="007943A0" w:rsidRDefault="007943A0" w:rsidP="007A54B7">
      <w:pPr>
        <w:pStyle w:val="balk20"/>
        <w:spacing w:before="0" w:after="0" w:line="240" w:lineRule="auto"/>
        <w:rPr>
          <w:rFonts w:eastAsia="Times New Roman"/>
          <w:lang w:eastAsia="en-US"/>
        </w:rPr>
      </w:pPr>
      <w:r w:rsidRPr="007943A0">
        <w:rPr>
          <w:rFonts w:eastAsia="Times New Roman"/>
          <w:lang w:eastAsia="en-US"/>
        </w:rPr>
        <w:t>3.2. Antibakteriyel Aktivite Sonuçları</w:t>
      </w:r>
      <w:bookmarkEnd w:id="102"/>
    </w:p>
    <w:p w14:paraId="7C447BF3" w14:textId="77777777" w:rsidR="007A54B7" w:rsidRPr="007943A0" w:rsidRDefault="007A54B7" w:rsidP="007A54B7">
      <w:pPr>
        <w:pStyle w:val="balk20"/>
        <w:spacing w:before="0" w:after="0"/>
        <w:rPr>
          <w:rFonts w:eastAsia="Times New Roman"/>
          <w:lang w:eastAsia="en-US"/>
        </w:rPr>
      </w:pPr>
    </w:p>
    <w:p w14:paraId="00043D7B" w14:textId="1D626F80" w:rsidR="007943A0" w:rsidRPr="007943A0" w:rsidRDefault="007943A0" w:rsidP="007943A0">
      <w:pPr>
        <w:widowControl w:val="0"/>
        <w:autoSpaceDE w:val="0"/>
        <w:autoSpaceDN w:val="0"/>
        <w:adjustRightInd w:val="0"/>
        <w:spacing w:after="0" w:line="360" w:lineRule="auto"/>
        <w:ind w:firstLine="567"/>
        <w:jc w:val="both"/>
        <w:rPr>
          <w:rFonts w:eastAsia="Calibri"/>
          <w:bCs/>
          <w:color w:val="auto"/>
          <w:lang w:eastAsia="en-US"/>
        </w:rPr>
      </w:pPr>
      <w:r w:rsidRPr="007943A0">
        <w:rPr>
          <w:rFonts w:eastAsia="Calibri"/>
          <w:bCs/>
          <w:color w:val="auto"/>
          <w:lang w:val="en-US" w:eastAsia="en-US"/>
        </w:rPr>
        <w:t>Son konsantrosyanları 30mg/mL olacak şekilde</w:t>
      </w:r>
      <w:r w:rsidRPr="007943A0">
        <w:rPr>
          <w:rFonts w:eastAsia="Calibri"/>
          <w:bCs/>
          <w:i/>
          <w:color w:val="auto"/>
          <w:lang w:val="en-US" w:eastAsia="en-US"/>
        </w:rPr>
        <w:t xml:space="preserve"> </w:t>
      </w:r>
      <w:r w:rsidRPr="007943A0">
        <w:rPr>
          <w:rFonts w:eastAsia="Calibri"/>
          <w:bCs/>
          <w:color w:val="auto"/>
          <w:lang w:val="en-US" w:eastAsia="en-US"/>
        </w:rPr>
        <w:t xml:space="preserve">hazırlanan etanol ve DMSO’da çözünmüş maddelerin 7 bakteri suşu üzerindeki antimikrobiyal aktiviteleri disk difüzyon yöntemi ile belirlendi. </w:t>
      </w:r>
      <w:r w:rsidRPr="007943A0">
        <w:rPr>
          <w:rFonts w:eastAsia="Calibri"/>
          <w:bCs/>
          <w:color w:val="auto"/>
          <w:lang w:eastAsia="en-US"/>
        </w:rPr>
        <w:t>Pozitif kontrol olarak Ampisilin/Sulbaktam ve Basitrasin kullanıldı.</w:t>
      </w:r>
      <w:r w:rsidR="008033FF">
        <w:rPr>
          <w:rFonts w:eastAsia="Calibri"/>
          <w:bCs/>
          <w:color w:val="auto"/>
          <w:lang w:eastAsia="en-US"/>
        </w:rPr>
        <w:t xml:space="preserve"> Disklere </w:t>
      </w:r>
      <w:r w:rsidR="00B00760">
        <w:rPr>
          <w:rFonts w:eastAsia="Calibri"/>
          <w:bCs/>
          <w:color w:val="auto"/>
          <w:lang w:eastAsia="en-US"/>
        </w:rPr>
        <w:t xml:space="preserve">maddeler ve antibiyotiklerden 100 </w:t>
      </w:r>
      <w:r w:rsidR="00B00760" w:rsidRPr="00B00760">
        <w:rPr>
          <w:rFonts w:ascii="Symbol" w:eastAsia="Calibri" w:hAnsi="Symbol"/>
          <w:bCs/>
          <w:color w:val="auto"/>
          <w:lang w:eastAsia="en-US"/>
        </w:rPr>
        <w:t></w:t>
      </w:r>
      <w:r w:rsidR="00B00760">
        <w:rPr>
          <w:rFonts w:eastAsia="Calibri"/>
          <w:bCs/>
          <w:color w:val="auto"/>
          <w:lang w:eastAsia="en-US"/>
        </w:rPr>
        <w:t>L inoküle edildi.</w:t>
      </w:r>
    </w:p>
    <w:p w14:paraId="3DB73D39" w14:textId="77777777" w:rsidR="007943A0" w:rsidRPr="007943A0" w:rsidRDefault="007943A0" w:rsidP="007943A0">
      <w:pPr>
        <w:widowControl w:val="0"/>
        <w:autoSpaceDE w:val="0"/>
        <w:autoSpaceDN w:val="0"/>
        <w:adjustRightInd w:val="0"/>
        <w:spacing w:after="0" w:line="240" w:lineRule="auto"/>
        <w:ind w:left="1247" w:hanging="1247"/>
        <w:jc w:val="both"/>
        <w:rPr>
          <w:rFonts w:eastAsia="Calibri"/>
          <w:bCs/>
          <w:color w:val="auto"/>
          <w:lang w:val="en-US" w:eastAsia="en-US"/>
        </w:rPr>
      </w:pPr>
    </w:p>
    <w:p w14:paraId="6DBB9F20" w14:textId="77777777" w:rsidR="0015234E" w:rsidRDefault="0015234E" w:rsidP="00C47BF0">
      <w:pPr>
        <w:widowControl w:val="0"/>
        <w:autoSpaceDE w:val="0"/>
        <w:autoSpaceDN w:val="0"/>
        <w:adjustRightInd w:val="0"/>
        <w:spacing w:before="120" w:after="120" w:line="240" w:lineRule="auto"/>
        <w:jc w:val="both"/>
        <w:rPr>
          <w:rFonts w:eastAsia="Calibri"/>
          <w:bCs/>
          <w:color w:val="auto"/>
          <w:lang w:val="en-US" w:eastAsia="en-US"/>
        </w:rPr>
      </w:pPr>
    </w:p>
    <w:p w14:paraId="39B48DA0" w14:textId="79F729B0" w:rsidR="007943A0" w:rsidRPr="007943A0" w:rsidRDefault="007943A0" w:rsidP="0015234E">
      <w:pPr>
        <w:widowControl w:val="0"/>
        <w:autoSpaceDE w:val="0"/>
        <w:autoSpaceDN w:val="0"/>
        <w:adjustRightInd w:val="0"/>
        <w:spacing w:after="0" w:line="240" w:lineRule="auto"/>
        <w:ind w:left="1361" w:hanging="1361"/>
        <w:jc w:val="both"/>
        <w:rPr>
          <w:rFonts w:eastAsia="Calibri"/>
          <w:bCs/>
          <w:color w:val="auto"/>
          <w:lang w:eastAsia="en-US"/>
        </w:rPr>
      </w:pPr>
      <w:r w:rsidRPr="007943A0">
        <w:rPr>
          <w:rFonts w:eastAsia="Calibri"/>
          <w:bCs/>
          <w:color w:val="auto"/>
          <w:lang w:val="en-US" w:eastAsia="en-US"/>
        </w:rPr>
        <w:lastRenderedPageBreak/>
        <w:t>Tablo</w:t>
      </w:r>
      <w:r w:rsidR="00BE7BA3">
        <w:rPr>
          <w:rFonts w:eastAsia="Calibri"/>
          <w:bCs/>
          <w:color w:val="auto"/>
          <w:lang w:val="en-US" w:eastAsia="en-US"/>
        </w:rPr>
        <w:t xml:space="preserve"> 3.4</w:t>
      </w:r>
      <w:r w:rsidRPr="007943A0">
        <w:rPr>
          <w:rFonts w:eastAsia="Calibri"/>
          <w:bCs/>
          <w:color w:val="auto"/>
          <w:lang w:val="en-US" w:eastAsia="en-US"/>
        </w:rPr>
        <w:t>. Etanolde ve DMSO’da çözünen (1-metil-4-hidroksi-4-fenilpiperidin-3-il)(fenil)metanon bileşiğinin (30 mg/mL) ve pozitif kontrollerin (Ampisilin/Sulbaktam, Basitrasin) 7 bakteri suşuna karşı oluşturdukları inhibisyon zon çapları</w:t>
      </w:r>
    </w:p>
    <w:tbl>
      <w:tblPr>
        <w:tblStyle w:val="DzTablo211"/>
        <w:tblpPr w:leftFromText="141" w:rightFromText="141" w:vertAnchor="text" w:horzAnchor="margin" w:tblpXSpec="center" w:tblpY="337"/>
        <w:tblW w:w="4860" w:type="pct"/>
        <w:tblLayout w:type="fixed"/>
        <w:tblLook w:val="04A0" w:firstRow="1" w:lastRow="0" w:firstColumn="1" w:lastColumn="0" w:noHBand="0" w:noVBand="1"/>
      </w:tblPr>
      <w:tblGrid>
        <w:gridCol w:w="3141"/>
        <w:gridCol w:w="1177"/>
        <w:gridCol w:w="1177"/>
        <w:gridCol w:w="1276"/>
        <w:gridCol w:w="1296"/>
        <w:gridCol w:w="688"/>
      </w:tblGrid>
      <w:tr w:rsidR="007943A0" w:rsidRPr="007943A0" w14:paraId="353FB5DC" w14:textId="77777777" w:rsidTr="00CC463A">
        <w:trPr>
          <w:cnfStyle w:val="100000000000" w:firstRow="1" w:lastRow="0" w:firstColumn="0" w:lastColumn="0" w:oddVBand="0" w:evenVBand="0" w:oddHBand="0" w:evenHBand="0" w:firstRowFirstColumn="0" w:firstRowLastColumn="0" w:lastRowFirstColumn="0" w:lastRowLastColumn="0"/>
          <w:trHeight w:val="657"/>
        </w:trPr>
        <w:tc>
          <w:tcPr>
            <w:cnfStyle w:val="001000000000" w:firstRow="0" w:lastRow="0" w:firstColumn="1" w:lastColumn="0" w:oddVBand="0" w:evenVBand="0" w:oddHBand="0" w:evenHBand="0" w:firstRowFirstColumn="0" w:firstRowLastColumn="0" w:lastRowFirstColumn="0" w:lastRowLastColumn="0"/>
            <w:tcW w:w="1794" w:type="pct"/>
            <w:vMerge w:val="restart"/>
            <w:vAlign w:val="center"/>
          </w:tcPr>
          <w:p w14:paraId="5EA9F343" w14:textId="77777777" w:rsidR="007943A0" w:rsidRPr="00230A84" w:rsidRDefault="007943A0" w:rsidP="007943A0">
            <w:pPr>
              <w:widowControl w:val="0"/>
              <w:rPr>
                <w:rFonts w:ascii="Times New Roman" w:hAnsi="Times New Roman"/>
                <w:lang w:val="en-US"/>
              </w:rPr>
            </w:pPr>
          </w:p>
          <w:p w14:paraId="38E63DC3" w14:textId="77777777" w:rsidR="007943A0" w:rsidRPr="00230A84" w:rsidRDefault="007943A0" w:rsidP="007943A0">
            <w:pPr>
              <w:widowControl w:val="0"/>
              <w:rPr>
                <w:rFonts w:ascii="Times New Roman" w:hAnsi="Times New Roman"/>
                <w:lang w:val="en-US"/>
              </w:rPr>
            </w:pPr>
            <w:r w:rsidRPr="00230A84">
              <w:rPr>
                <w:rFonts w:ascii="Times New Roman" w:hAnsi="Times New Roman"/>
                <w:lang w:val="en-US"/>
              </w:rPr>
              <w:t>BAKTERİLER</w:t>
            </w:r>
          </w:p>
        </w:tc>
        <w:tc>
          <w:tcPr>
            <w:tcW w:w="3206" w:type="pct"/>
            <w:gridSpan w:val="5"/>
            <w:vAlign w:val="center"/>
          </w:tcPr>
          <w:p w14:paraId="73DC354F" w14:textId="77777777" w:rsidR="007943A0" w:rsidRPr="00230A84" w:rsidRDefault="007943A0" w:rsidP="007943A0">
            <w:pPr>
              <w:widowControl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lang w:val="en-US"/>
              </w:rPr>
            </w:pPr>
          </w:p>
          <w:p w14:paraId="61F5FEE0" w14:textId="77777777" w:rsidR="007943A0" w:rsidRPr="00230A84" w:rsidRDefault="007943A0" w:rsidP="007943A0">
            <w:pPr>
              <w:widowControl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İNHİBİSYON ZON ÇAPLARI (mm)</w:t>
            </w:r>
          </w:p>
        </w:tc>
      </w:tr>
      <w:tr w:rsidR="007943A0" w:rsidRPr="007943A0" w14:paraId="74490A14" w14:textId="77777777" w:rsidTr="00CC463A">
        <w:trPr>
          <w:cnfStyle w:val="000000100000" w:firstRow="0" w:lastRow="0" w:firstColumn="0" w:lastColumn="0" w:oddVBand="0" w:evenVBand="0" w:oddHBand="1" w:evenHBand="0" w:firstRowFirstColumn="0" w:firstRowLastColumn="0" w:lastRowFirstColumn="0" w:lastRowLastColumn="0"/>
          <w:trHeight w:val="657"/>
        </w:trPr>
        <w:tc>
          <w:tcPr>
            <w:cnfStyle w:val="001000000000" w:firstRow="0" w:lastRow="0" w:firstColumn="1" w:lastColumn="0" w:oddVBand="0" w:evenVBand="0" w:oddHBand="0" w:evenHBand="0" w:firstRowFirstColumn="0" w:firstRowLastColumn="0" w:lastRowFirstColumn="0" w:lastRowLastColumn="0"/>
            <w:tcW w:w="1794" w:type="pct"/>
            <w:vMerge/>
          </w:tcPr>
          <w:p w14:paraId="683094A2" w14:textId="77777777" w:rsidR="007943A0" w:rsidRPr="00230A84" w:rsidRDefault="007943A0" w:rsidP="007943A0">
            <w:pPr>
              <w:widowControl w:val="0"/>
              <w:rPr>
                <w:rFonts w:ascii="Times New Roman" w:hAnsi="Times New Roman"/>
                <w:sz w:val="20"/>
                <w:szCs w:val="20"/>
                <w:lang w:val="en-US"/>
              </w:rPr>
            </w:pPr>
          </w:p>
        </w:tc>
        <w:tc>
          <w:tcPr>
            <w:tcW w:w="672" w:type="pct"/>
            <w:vAlign w:val="center"/>
          </w:tcPr>
          <w:p w14:paraId="2AC2F148" w14:textId="77777777" w:rsidR="007943A0" w:rsidRPr="00230A84" w:rsidRDefault="007943A0" w:rsidP="007943A0">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b/>
                <w:lang w:val="en-US"/>
              </w:rPr>
              <w:t>Madde (Etanol)</w:t>
            </w:r>
          </w:p>
        </w:tc>
        <w:tc>
          <w:tcPr>
            <w:tcW w:w="672" w:type="pct"/>
            <w:vAlign w:val="center"/>
          </w:tcPr>
          <w:p w14:paraId="13AF1640" w14:textId="77777777" w:rsidR="007943A0" w:rsidRPr="00230A84" w:rsidRDefault="007943A0" w:rsidP="007943A0">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shd w:val="clear" w:color="auto" w:fill="FFFFFF"/>
                <w:lang w:val="en-US"/>
              </w:rPr>
            </w:pPr>
            <w:r w:rsidRPr="00230A84">
              <w:rPr>
                <w:rFonts w:ascii="Times New Roman" w:hAnsi="Times New Roman"/>
                <w:b/>
                <w:shd w:val="clear" w:color="auto" w:fill="FFFFFF"/>
                <w:lang w:val="en-US"/>
              </w:rPr>
              <w:t>Madde</w:t>
            </w:r>
          </w:p>
          <w:p w14:paraId="3EF5467A"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b/>
                <w:shd w:val="clear" w:color="auto" w:fill="FFFFFF"/>
                <w:lang w:val="en-US"/>
              </w:rPr>
              <w:t>(DMSO)</w:t>
            </w:r>
          </w:p>
        </w:tc>
        <w:tc>
          <w:tcPr>
            <w:tcW w:w="729" w:type="pct"/>
            <w:vAlign w:val="center"/>
          </w:tcPr>
          <w:p w14:paraId="629D9D1F"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lang w:val="en-US"/>
              </w:rPr>
            </w:pPr>
            <w:r w:rsidRPr="00230A84">
              <w:rPr>
                <w:rFonts w:ascii="Times New Roman" w:hAnsi="Times New Roman"/>
                <w:b/>
                <w:lang w:val="en-US"/>
              </w:rPr>
              <w:t>Ampisilin/</w:t>
            </w:r>
          </w:p>
          <w:p w14:paraId="53A19031"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b/>
                <w:lang w:val="en-US"/>
              </w:rPr>
              <w:t>sulbaktam</w:t>
            </w:r>
          </w:p>
        </w:tc>
        <w:tc>
          <w:tcPr>
            <w:tcW w:w="740" w:type="pct"/>
            <w:vAlign w:val="center"/>
          </w:tcPr>
          <w:p w14:paraId="78259126"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b/>
                <w:lang w:val="en-US"/>
              </w:rPr>
              <w:t>Basitrasin</w:t>
            </w:r>
          </w:p>
        </w:tc>
        <w:tc>
          <w:tcPr>
            <w:tcW w:w="393" w:type="pct"/>
            <w:vAlign w:val="center"/>
          </w:tcPr>
          <w:p w14:paraId="543E477B" w14:textId="77777777" w:rsidR="007943A0" w:rsidRPr="007943A0" w:rsidRDefault="007943A0" w:rsidP="007943A0">
            <w:pPr>
              <w:widowControl w:val="0"/>
              <w:cnfStyle w:val="000000100000" w:firstRow="0" w:lastRow="0" w:firstColumn="0" w:lastColumn="0" w:oddVBand="0" w:evenVBand="0" w:oddHBand="1" w:evenHBand="0" w:firstRowFirstColumn="0" w:firstRowLastColumn="0" w:lastRowFirstColumn="0" w:lastRowLastColumn="0"/>
              <w:rPr>
                <w:lang w:val="en-US"/>
              </w:rPr>
            </w:pPr>
          </w:p>
        </w:tc>
      </w:tr>
      <w:tr w:rsidR="007943A0" w:rsidRPr="007943A0" w14:paraId="2D1FEF41" w14:textId="77777777" w:rsidTr="00CC463A">
        <w:trPr>
          <w:trHeight w:val="458"/>
        </w:trPr>
        <w:tc>
          <w:tcPr>
            <w:cnfStyle w:val="001000000000" w:firstRow="0" w:lastRow="0" w:firstColumn="1" w:lastColumn="0" w:oddVBand="0" w:evenVBand="0" w:oddHBand="0" w:evenHBand="0" w:firstRowFirstColumn="0" w:firstRowLastColumn="0" w:lastRowFirstColumn="0" w:lastRowLastColumn="0"/>
            <w:tcW w:w="1794" w:type="pct"/>
            <w:vAlign w:val="center"/>
          </w:tcPr>
          <w:p w14:paraId="31149DA6" w14:textId="77777777" w:rsidR="007943A0" w:rsidRPr="00230A84" w:rsidRDefault="007943A0" w:rsidP="007943A0">
            <w:pPr>
              <w:widowControl w:val="0"/>
              <w:rPr>
                <w:rFonts w:ascii="Times New Roman" w:hAnsi="Times New Roman"/>
                <w:lang w:val="en-US"/>
              </w:rPr>
            </w:pPr>
            <w:r w:rsidRPr="00230A84">
              <w:rPr>
                <w:rFonts w:ascii="Times New Roman" w:hAnsi="Times New Roman"/>
                <w:i/>
                <w:shd w:val="clear" w:color="auto" w:fill="FFFFFF"/>
                <w:lang w:val="en-US"/>
              </w:rPr>
              <w:t>S. aureus</w:t>
            </w:r>
            <w:r w:rsidRPr="00230A84">
              <w:rPr>
                <w:rFonts w:ascii="Times New Roman" w:hAnsi="Times New Roman"/>
                <w:lang w:val="en-US"/>
              </w:rPr>
              <w:t xml:space="preserve"> ATCC 29213</w:t>
            </w:r>
          </w:p>
        </w:tc>
        <w:tc>
          <w:tcPr>
            <w:tcW w:w="672" w:type="pct"/>
            <w:vAlign w:val="center"/>
          </w:tcPr>
          <w:p w14:paraId="7EF0B0DC"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32</w:t>
            </w:r>
          </w:p>
        </w:tc>
        <w:tc>
          <w:tcPr>
            <w:tcW w:w="672" w:type="pct"/>
            <w:vAlign w:val="center"/>
          </w:tcPr>
          <w:p w14:paraId="72BDD3AA"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30</w:t>
            </w:r>
          </w:p>
        </w:tc>
        <w:tc>
          <w:tcPr>
            <w:tcW w:w="729" w:type="pct"/>
            <w:vAlign w:val="center"/>
          </w:tcPr>
          <w:p w14:paraId="776E28C0"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23</w:t>
            </w:r>
          </w:p>
        </w:tc>
        <w:tc>
          <w:tcPr>
            <w:tcW w:w="740" w:type="pct"/>
            <w:vAlign w:val="center"/>
          </w:tcPr>
          <w:p w14:paraId="581E41AA"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25</w:t>
            </w:r>
          </w:p>
        </w:tc>
        <w:tc>
          <w:tcPr>
            <w:tcW w:w="393" w:type="pct"/>
            <w:vAlign w:val="center"/>
          </w:tcPr>
          <w:p w14:paraId="1BC9F099" w14:textId="77777777" w:rsidR="007943A0" w:rsidRPr="00230A84" w:rsidRDefault="007943A0" w:rsidP="007943A0">
            <w:pPr>
              <w:widowControl w:val="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p>
        </w:tc>
      </w:tr>
      <w:tr w:rsidR="007943A0" w:rsidRPr="007943A0" w14:paraId="773D2CA5" w14:textId="77777777" w:rsidTr="00CC463A">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1794" w:type="pct"/>
            <w:vAlign w:val="center"/>
          </w:tcPr>
          <w:p w14:paraId="3D2A6A01" w14:textId="77777777" w:rsidR="007943A0" w:rsidRPr="00230A84" w:rsidRDefault="007943A0" w:rsidP="007943A0">
            <w:pPr>
              <w:widowControl w:val="0"/>
              <w:rPr>
                <w:rFonts w:ascii="Times New Roman" w:hAnsi="Times New Roman"/>
                <w:lang w:val="en-US"/>
              </w:rPr>
            </w:pPr>
            <w:r w:rsidRPr="00230A84">
              <w:rPr>
                <w:rFonts w:ascii="Times New Roman" w:hAnsi="Times New Roman"/>
                <w:i/>
                <w:lang w:val="en-US"/>
              </w:rPr>
              <w:t xml:space="preserve">E. coli </w:t>
            </w:r>
            <w:r w:rsidRPr="00230A84">
              <w:rPr>
                <w:rFonts w:ascii="Times New Roman" w:hAnsi="Times New Roman"/>
                <w:lang w:val="en-US"/>
              </w:rPr>
              <w:t>35218</w:t>
            </w:r>
          </w:p>
        </w:tc>
        <w:tc>
          <w:tcPr>
            <w:tcW w:w="672" w:type="pct"/>
            <w:vAlign w:val="center"/>
          </w:tcPr>
          <w:p w14:paraId="1F317697"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29</w:t>
            </w:r>
          </w:p>
        </w:tc>
        <w:tc>
          <w:tcPr>
            <w:tcW w:w="672" w:type="pct"/>
            <w:vAlign w:val="center"/>
          </w:tcPr>
          <w:p w14:paraId="479F4A9C"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24</w:t>
            </w:r>
          </w:p>
        </w:tc>
        <w:tc>
          <w:tcPr>
            <w:tcW w:w="729" w:type="pct"/>
            <w:vAlign w:val="center"/>
          </w:tcPr>
          <w:p w14:paraId="44FE0EA6"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9</w:t>
            </w:r>
          </w:p>
        </w:tc>
        <w:tc>
          <w:tcPr>
            <w:tcW w:w="740" w:type="pct"/>
            <w:vAlign w:val="center"/>
          </w:tcPr>
          <w:p w14:paraId="6184D72F"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w:t>
            </w:r>
          </w:p>
        </w:tc>
        <w:tc>
          <w:tcPr>
            <w:tcW w:w="393" w:type="pct"/>
            <w:vAlign w:val="center"/>
          </w:tcPr>
          <w:p w14:paraId="404020F5"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p>
        </w:tc>
      </w:tr>
      <w:tr w:rsidR="007943A0" w:rsidRPr="007943A0" w14:paraId="67A7306E" w14:textId="77777777" w:rsidTr="00CC463A">
        <w:trPr>
          <w:trHeight w:val="458"/>
        </w:trPr>
        <w:tc>
          <w:tcPr>
            <w:cnfStyle w:val="001000000000" w:firstRow="0" w:lastRow="0" w:firstColumn="1" w:lastColumn="0" w:oddVBand="0" w:evenVBand="0" w:oddHBand="0" w:evenHBand="0" w:firstRowFirstColumn="0" w:firstRowLastColumn="0" w:lastRowFirstColumn="0" w:lastRowLastColumn="0"/>
            <w:tcW w:w="1794" w:type="pct"/>
            <w:vAlign w:val="center"/>
          </w:tcPr>
          <w:p w14:paraId="00E6A763" w14:textId="77777777" w:rsidR="007943A0" w:rsidRPr="00230A84" w:rsidRDefault="007943A0" w:rsidP="007943A0">
            <w:pPr>
              <w:widowControl w:val="0"/>
              <w:rPr>
                <w:rFonts w:ascii="Times New Roman" w:hAnsi="Times New Roman"/>
                <w:lang w:val="en-US"/>
              </w:rPr>
            </w:pPr>
            <w:r w:rsidRPr="00230A84">
              <w:rPr>
                <w:rFonts w:ascii="Times New Roman" w:hAnsi="Times New Roman"/>
                <w:i/>
                <w:lang w:val="en-US"/>
              </w:rPr>
              <w:t xml:space="preserve">E. coli </w:t>
            </w:r>
            <w:r w:rsidRPr="00230A84">
              <w:rPr>
                <w:rFonts w:ascii="Times New Roman" w:hAnsi="Times New Roman"/>
                <w:lang w:val="en-US"/>
              </w:rPr>
              <w:t>25922</w:t>
            </w:r>
          </w:p>
        </w:tc>
        <w:tc>
          <w:tcPr>
            <w:tcW w:w="672" w:type="pct"/>
            <w:vAlign w:val="center"/>
          </w:tcPr>
          <w:p w14:paraId="2BB034BE"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26</w:t>
            </w:r>
          </w:p>
        </w:tc>
        <w:tc>
          <w:tcPr>
            <w:tcW w:w="672" w:type="pct"/>
            <w:vAlign w:val="center"/>
          </w:tcPr>
          <w:p w14:paraId="21E42435"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19</w:t>
            </w:r>
          </w:p>
        </w:tc>
        <w:tc>
          <w:tcPr>
            <w:tcW w:w="729" w:type="pct"/>
            <w:vAlign w:val="center"/>
          </w:tcPr>
          <w:p w14:paraId="484DD9A9"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17</w:t>
            </w:r>
          </w:p>
        </w:tc>
        <w:tc>
          <w:tcPr>
            <w:tcW w:w="740" w:type="pct"/>
            <w:vAlign w:val="center"/>
          </w:tcPr>
          <w:p w14:paraId="6DA406C4"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18</w:t>
            </w:r>
          </w:p>
        </w:tc>
        <w:tc>
          <w:tcPr>
            <w:tcW w:w="393" w:type="pct"/>
            <w:vAlign w:val="center"/>
          </w:tcPr>
          <w:p w14:paraId="48A4719B" w14:textId="77777777" w:rsidR="007943A0" w:rsidRPr="00230A84" w:rsidRDefault="007943A0" w:rsidP="007943A0">
            <w:pPr>
              <w:widowControl w:val="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p>
        </w:tc>
      </w:tr>
      <w:tr w:rsidR="007943A0" w:rsidRPr="007943A0" w14:paraId="675E6BE9" w14:textId="77777777" w:rsidTr="00CC463A">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1794" w:type="pct"/>
            <w:vAlign w:val="center"/>
          </w:tcPr>
          <w:p w14:paraId="13F9E619" w14:textId="77777777" w:rsidR="007943A0" w:rsidRPr="00230A84" w:rsidRDefault="007943A0" w:rsidP="007943A0">
            <w:pPr>
              <w:widowControl w:val="0"/>
              <w:rPr>
                <w:rFonts w:ascii="Times New Roman" w:hAnsi="Times New Roman"/>
                <w:lang w:val="en-US"/>
              </w:rPr>
            </w:pPr>
            <w:r w:rsidRPr="00230A84">
              <w:rPr>
                <w:rFonts w:ascii="Times New Roman" w:hAnsi="Times New Roman"/>
                <w:i/>
                <w:lang w:val="en-US"/>
              </w:rPr>
              <w:t xml:space="preserve">K.pnemoniae </w:t>
            </w:r>
            <w:r w:rsidRPr="00230A84">
              <w:rPr>
                <w:rFonts w:ascii="Times New Roman" w:hAnsi="Times New Roman"/>
                <w:lang w:val="en-US"/>
              </w:rPr>
              <w:t>BL 2003</w:t>
            </w:r>
          </w:p>
        </w:tc>
        <w:tc>
          <w:tcPr>
            <w:tcW w:w="672" w:type="pct"/>
            <w:vAlign w:val="center"/>
          </w:tcPr>
          <w:p w14:paraId="74FD0367"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21</w:t>
            </w:r>
          </w:p>
        </w:tc>
        <w:tc>
          <w:tcPr>
            <w:tcW w:w="672" w:type="pct"/>
            <w:vAlign w:val="center"/>
          </w:tcPr>
          <w:p w14:paraId="29787AB5"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13</w:t>
            </w:r>
          </w:p>
        </w:tc>
        <w:tc>
          <w:tcPr>
            <w:tcW w:w="729" w:type="pct"/>
            <w:vAlign w:val="center"/>
          </w:tcPr>
          <w:p w14:paraId="0E084800"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9</w:t>
            </w:r>
          </w:p>
        </w:tc>
        <w:tc>
          <w:tcPr>
            <w:tcW w:w="740" w:type="pct"/>
            <w:vAlign w:val="center"/>
          </w:tcPr>
          <w:p w14:paraId="6EBEDE19"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w:t>
            </w:r>
          </w:p>
        </w:tc>
        <w:tc>
          <w:tcPr>
            <w:tcW w:w="393" w:type="pct"/>
            <w:vAlign w:val="center"/>
          </w:tcPr>
          <w:p w14:paraId="2B5B4478"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p>
        </w:tc>
      </w:tr>
      <w:tr w:rsidR="007943A0" w:rsidRPr="007943A0" w14:paraId="797A90CE" w14:textId="77777777" w:rsidTr="00CC463A">
        <w:trPr>
          <w:trHeight w:val="458"/>
        </w:trPr>
        <w:tc>
          <w:tcPr>
            <w:cnfStyle w:val="001000000000" w:firstRow="0" w:lastRow="0" w:firstColumn="1" w:lastColumn="0" w:oddVBand="0" w:evenVBand="0" w:oddHBand="0" w:evenHBand="0" w:firstRowFirstColumn="0" w:firstRowLastColumn="0" w:lastRowFirstColumn="0" w:lastRowLastColumn="0"/>
            <w:tcW w:w="1794" w:type="pct"/>
            <w:vAlign w:val="center"/>
          </w:tcPr>
          <w:p w14:paraId="2C5EABF4" w14:textId="77777777" w:rsidR="007943A0" w:rsidRPr="00230A84" w:rsidRDefault="007943A0" w:rsidP="007943A0">
            <w:pPr>
              <w:widowControl w:val="0"/>
              <w:rPr>
                <w:rFonts w:ascii="Times New Roman" w:hAnsi="Times New Roman"/>
                <w:lang w:val="en-US"/>
              </w:rPr>
            </w:pPr>
            <w:r w:rsidRPr="00230A84">
              <w:rPr>
                <w:rFonts w:ascii="Times New Roman" w:hAnsi="Times New Roman"/>
                <w:i/>
                <w:shd w:val="clear" w:color="auto" w:fill="FFFFFF"/>
                <w:lang w:val="en-US"/>
              </w:rPr>
              <w:t xml:space="preserve">E. faecalis </w:t>
            </w:r>
            <w:r w:rsidRPr="00230A84">
              <w:rPr>
                <w:rFonts w:ascii="Times New Roman" w:hAnsi="Times New Roman"/>
                <w:shd w:val="clear" w:color="auto" w:fill="FFFFFF"/>
                <w:lang w:val="en-US"/>
              </w:rPr>
              <w:t>ATCC</w:t>
            </w:r>
            <w:r w:rsidRPr="00230A84">
              <w:rPr>
                <w:rFonts w:ascii="Times New Roman" w:hAnsi="Times New Roman"/>
                <w:lang w:val="en-US"/>
              </w:rPr>
              <w:t xml:space="preserve">29212 </w:t>
            </w:r>
          </w:p>
        </w:tc>
        <w:tc>
          <w:tcPr>
            <w:tcW w:w="672" w:type="pct"/>
            <w:vAlign w:val="center"/>
          </w:tcPr>
          <w:p w14:paraId="46F76F1B"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20</w:t>
            </w:r>
          </w:p>
        </w:tc>
        <w:tc>
          <w:tcPr>
            <w:tcW w:w="672" w:type="pct"/>
            <w:vAlign w:val="center"/>
          </w:tcPr>
          <w:p w14:paraId="1D6E32E1"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17</w:t>
            </w:r>
          </w:p>
        </w:tc>
        <w:tc>
          <w:tcPr>
            <w:tcW w:w="729" w:type="pct"/>
            <w:vAlign w:val="center"/>
          </w:tcPr>
          <w:p w14:paraId="27A2B3F0"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21</w:t>
            </w:r>
          </w:p>
        </w:tc>
        <w:tc>
          <w:tcPr>
            <w:tcW w:w="740" w:type="pct"/>
            <w:vAlign w:val="center"/>
          </w:tcPr>
          <w:p w14:paraId="27DDBBA1"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22</w:t>
            </w:r>
          </w:p>
        </w:tc>
        <w:tc>
          <w:tcPr>
            <w:tcW w:w="393" w:type="pct"/>
            <w:vAlign w:val="center"/>
          </w:tcPr>
          <w:p w14:paraId="0073E73C"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p>
        </w:tc>
      </w:tr>
      <w:tr w:rsidR="007943A0" w:rsidRPr="007943A0" w14:paraId="006599C9" w14:textId="77777777" w:rsidTr="00CC463A">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1794" w:type="pct"/>
            <w:vAlign w:val="center"/>
          </w:tcPr>
          <w:p w14:paraId="6E122EE3" w14:textId="77777777" w:rsidR="007943A0" w:rsidRPr="00230A84" w:rsidRDefault="007943A0" w:rsidP="007943A0">
            <w:pPr>
              <w:widowControl w:val="0"/>
              <w:rPr>
                <w:rFonts w:ascii="Times New Roman" w:hAnsi="Times New Roman"/>
                <w:lang w:val="en-US"/>
              </w:rPr>
            </w:pPr>
            <w:r w:rsidRPr="00230A84">
              <w:rPr>
                <w:rFonts w:ascii="Times New Roman" w:hAnsi="Times New Roman"/>
                <w:i/>
                <w:lang w:val="en-US"/>
              </w:rPr>
              <w:t xml:space="preserve">P.aeruginosa </w:t>
            </w:r>
            <w:r w:rsidRPr="00230A84">
              <w:rPr>
                <w:rFonts w:ascii="Times New Roman" w:hAnsi="Times New Roman"/>
                <w:lang w:val="en-US"/>
              </w:rPr>
              <w:t>27853</w:t>
            </w:r>
          </w:p>
        </w:tc>
        <w:tc>
          <w:tcPr>
            <w:tcW w:w="672" w:type="pct"/>
            <w:vAlign w:val="center"/>
          </w:tcPr>
          <w:p w14:paraId="4A9DB02D"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18</w:t>
            </w:r>
          </w:p>
        </w:tc>
        <w:tc>
          <w:tcPr>
            <w:tcW w:w="672" w:type="pct"/>
            <w:vAlign w:val="center"/>
          </w:tcPr>
          <w:p w14:paraId="1E7C95FA"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9</w:t>
            </w:r>
          </w:p>
        </w:tc>
        <w:tc>
          <w:tcPr>
            <w:tcW w:w="729" w:type="pct"/>
            <w:vAlign w:val="center"/>
          </w:tcPr>
          <w:p w14:paraId="2C925351"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18,5</w:t>
            </w:r>
          </w:p>
        </w:tc>
        <w:tc>
          <w:tcPr>
            <w:tcW w:w="740" w:type="pct"/>
            <w:vAlign w:val="center"/>
          </w:tcPr>
          <w:p w14:paraId="04930673"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21</w:t>
            </w:r>
          </w:p>
        </w:tc>
        <w:tc>
          <w:tcPr>
            <w:tcW w:w="393" w:type="pct"/>
            <w:vAlign w:val="center"/>
          </w:tcPr>
          <w:p w14:paraId="176B09D9" w14:textId="77777777" w:rsidR="007943A0" w:rsidRPr="00230A84" w:rsidRDefault="007943A0" w:rsidP="007943A0">
            <w:pPr>
              <w:widowControl w:val="0"/>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p>
        </w:tc>
      </w:tr>
      <w:tr w:rsidR="007943A0" w:rsidRPr="007943A0" w14:paraId="66550B83" w14:textId="77777777" w:rsidTr="00CC463A">
        <w:trPr>
          <w:trHeight w:val="458"/>
        </w:trPr>
        <w:tc>
          <w:tcPr>
            <w:cnfStyle w:val="001000000000" w:firstRow="0" w:lastRow="0" w:firstColumn="1" w:lastColumn="0" w:oddVBand="0" w:evenVBand="0" w:oddHBand="0" w:evenHBand="0" w:firstRowFirstColumn="0" w:firstRowLastColumn="0" w:lastRowFirstColumn="0" w:lastRowLastColumn="0"/>
            <w:tcW w:w="1794" w:type="pct"/>
            <w:vAlign w:val="center"/>
          </w:tcPr>
          <w:p w14:paraId="54C9603A" w14:textId="77777777" w:rsidR="007943A0" w:rsidRPr="00230A84" w:rsidRDefault="007943A0" w:rsidP="007943A0">
            <w:pPr>
              <w:widowControl w:val="0"/>
              <w:rPr>
                <w:rFonts w:ascii="Times New Roman" w:hAnsi="Times New Roman"/>
                <w:lang w:val="en-US"/>
              </w:rPr>
            </w:pPr>
            <w:r w:rsidRPr="00230A84">
              <w:rPr>
                <w:rFonts w:ascii="Times New Roman" w:hAnsi="Times New Roman"/>
                <w:i/>
                <w:lang w:val="en-US"/>
              </w:rPr>
              <w:t xml:space="preserve">P. putida </w:t>
            </w:r>
            <w:r w:rsidRPr="00230A84">
              <w:rPr>
                <w:rFonts w:ascii="Times New Roman" w:hAnsi="Times New Roman"/>
                <w:lang w:val="en-US"/>
              </w:rPr>
              <w:t>BC1617</w:t>
            </w:r>
          </w:p>
        </w:tc>
        <w:tc>
          <w:tcPr>
            <w:tcW w:w="672" w:type="pct"/>
            <w:vAlign w:val="center"/>
          </w:tcPr>
          <w:p w14:paraId="4C7D715B"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23</w:t>
            </w:r>
          </w:p>
        </w:tc>
        <w:tc>
          <w:tcPr>
            <w:tcW w:w="672" w:type="pct"/>
            <w:vAlign w:val="center"/>
          </w:tcPr>
          <w:p w14:paraId="03728196"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20</w:t>
            </w:r>
          </w:p>
        </w:tc>
        <w:tc>
          <w:tcPr>
            <w:tcW w:w="729" w:type="pct"/>
            <w:vAlign w:val="center"/>
          </w:tcPr>
          <w:p w14:paraId="5AE1FC95"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11</w:t>
            </w:r>
          </w:p>
        </w:tc>
        <w:tc>
          <w:tcPr>
            <w:tcW w:w="740" w:type="pct"/>
            <w:vAlign w:val="center"/>
          </w:tcPr>
          <w:p w14:paraId="2AA3B699"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9</w:t>
            </w:r>
          </w:p>
        </w:tc>
        <w:tc>
          <w:tcPr>
            <w:tcW w:w="393" w:type="pct"/>
            <w:vAlign w:val="center"/>
          </w:tcPr>
          <w:p w14:paraId="65A0D695"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p>
        </w:tc>
      </w:tr>
    </w:tbl>
    <w:p w14:paraId="5C4CECB3" w14:textId="77777777" w:rsidR="00C66CD9" w:rsidRDefault="00C66CD9" w:rsidP="009D31CC">
      <w:pPr>
        <w:widowControl w:val="0"/>
        <w:autoSpaceDE w:val="0"/>
        <w:autoSpaceDN w:val="0"/>
        <w:adjustRightInd w:val="0"/>
        <w:spacing w:after="0" w:line="240" w:lineRule="auto"/>
        <w:jc w:val="both"/>
        <w:rPr>
          <w:rFonts w:eastAsia="Calibri"/>
          <w:bCs/>
          <w:color w:val="auto"/>
          <w:lang w:val="en-US" w:eastAsia="en-US"/>
        </w:rPr>
      </w:pPr>
    </w:p>
    <w:p w14:paraId="0E2166B2" w14:textId="77777777" w:rsidR="00C66CD9" w:rsidRDefault="00C66CD9" w:rsidP="009D31CC">
      <w:pPr>
        <w:widowControl w:val="0"/>
        <w:autoSpaceDE w:val="0"/>
        <w:autoSpaceDN w:val="0"/>
        <w:adjustRightInd w:val="0"/>
        <w:spacing w:after="0" w:line="240" w:lineRule="auto"/>
        <w:jc w:val="both"/>
        <w:rPr>
          <w:rFonts w:eastAsia="Calibri"/>
          <w:bCs/>
          <w:color w:val="auto"/>
          <w:lang w:val="en-US" w:eastAsia="en-US"/>
        </w:rPr>
      </w:pPr>
    </w:p>
    <w:p w14:paraId="326D8212" w14:textId="77777777" w:rsidR="00C66CD9" w:rsidRDefault="00C66CD9" w:rsidP="00C66CD9">
      <w:pPr>
        <w:widowControl w:val="0"/>
        <w:autoSpaceDE w:val="0"/>
        <w:autoSpaceDN w:val="0"/>
        <w:adjustRightInd w:val="0"/>
        <w:spacing w:after="0" w:line="360" w:lineRule="auto"/>
        <w:jc w:val="both"/>
        <w:rPr>
          <w:rFonts w:eastAsia="Calibri"/>
          <w:bCs/>
          <w:color w:val="auto"/>
          <w:lang w:val="en-US" w:eastAsia="en-US"/>
        </w:rPr>
      </w:pPr>
    </w:p>
    <w:p w14:paraId="208C0E90" w14:textId="0D500472" w:rsidR="007943A0" w:rsidRPr="007943A0" w:rsidRDefault="00BE7BA3" w:rsidP="0015234E">
      <w:pPr>
        <w:widowControl w:val="0"/>
        <w:autoSpaceDE w:val="0"/>
        <w:autoSpaceDN w:val="0"/>
        <w:adjustRightInd w:val="0"/>
        <w:spacing w:after="0" w:line="240" w:lineRule="auto"/>
        <w:ind w:left="1418" w:hanging="1418"/>
        <w:jc w:val="both"/>
        <w:rPr>
          <w:rFonts w:eastAsia="Calibri"/>
          <w:bCs/>
          <w:color w:val="auto"/>
          <w:lang w:val="en-US" w:eastAsia="en-US"/>
        </w:rPr>
      </w:pPr>
      <w:r>
        <w:rPr>
          <w:rFonts w:eastAsia="Calibri"/>
          <w:bCs/>
          <w:color w:val="auto"/>
          <w:lang w:val="en-US" w:eastAsia="en-US"/>
        </w:rPr>
        <w:t>Tablo 3.5</w:t>
      </w:r>
      <w:r w:rsidR="007943A0" w:rsidRPr="007943A0">
        <w:rPr>
          <w:rFonts w:eastAsia="Calibri"/>
          <w:bCs/>
          <w:color w:val="auto"/>
          <w:lang w:val="en-US" w:eastAsia="en-US"/>
        </w:rPr>
        <w:t>. Etanolde ve DMSO da çözünen (1-etil-4-hidroksi-4-fenilpiperidin-3-il)(fenil)metanon bileşiğinin (30 mg/mL) ve pozitif kontrollerin (Ampisilin/Sulbaktam, Basitrasin) 7 bakteri suşuna karşı oluşturdukları inhibisyon zon çapları</w:t>
      </w:r>
    </w:p>
    <w:tbl>
      <w:tblPr>
        <w:tblStyle w:val="DzTablo211"/>
        <w:tblpPr w:leftFromText="141" w:rightFromText="141" w:vertAnchor="text" w:horzAnchor="margin" w:tblpXSpec="center" w:tblpY="337"/>
        <w:tblW w:w="4860" w:type="pct"/>
        <w:tblLayout w:type="fixed"/>
        <w:tblLook w:val="04A0" w:firstRow="1" w:lastRow="0" w:firstColumn="1" w:lastColumn="0" w:noHBand="0" w:noVBand="1"/>
      </w:tblPr>
      <w:tblGrid>
        <w:gridCol w:w="3141"/>
        <w:gridCol w:w="1177"/>
        <w:gridCol w:w="1177"/>
        <w:gridCol w:w="1276"/>
        <w:gridCol w:w="1296"/>
        <w:gridCol w:w="688"/>
      </w:tblGrid>
      <w:tr w:rsidR="007943A0" w:rsidRPr="007943A0" w14:paraId="18835140" w14:textId="77777777" w:rsidTr="007943A0">
        <w:trPr>
          <w:cnfStyle w:val="100000000000" w:firstRow="1" w:lastRow="0" w:firstColumn="0" w:lastColumn="0" w:oddVBand="0" w:evenVBand="0" w:oddHBand="0" w:evenHBand="0" w:firstRowFirstColumn="0" w:firstRowLastColumn="0" w:lastRowFirstColumn="0" w:lastRowLastColumn="0"/>
          <w:trHeight w:val="657"/>
        </w:trPr>
        <w:tc>
          <w:tcPr>
            <w:cnfStyle w:val="001000000000" w:firstRow="0" w:lastRow="0" w:firstColumn="1" w:lastColumn="0" w:oddVBand="0" w:evenVBand="0" w:oddHBand="0" w:evenHBand="0" w:firstRowFirstColumn="0" w:firstRowLastColumn="0" w:lastRowFirstColumn="0" w:lastRowLastColumn="0"/>
            <w:tcW w:w="1794" w:type="pct"/>
            <w:vMerge w:val="restart"/>
            <w:vAlign w:val="center"/>
          </w:tcPr>
          <w:p w14:paraId="38177CCF" w14:textId="77777777" w:rsidR="007943A0" w:rsidRPr="00230A84" w:rsidRDefault="007943A0" w:rsidP="007943A0">
            <w:pPr>
              <w:widowControl w:val="0"/>
              <w:rPr>
                <w:rFonts w:ascii="Times New Roman" w:hAnsi="Times New Roman"/>
                <w:lang w:val="en-US"/>
              </w:rPr>
            </w:pPr>
          </w:p>
          <w:p w14:paraId="781BEA83" w14:textId="77777777" w:rsidR="007943A0" w:rsidRPr="00230A84" w:rsidRDefault="007943A0" w:rsidP="007943A0">
            <w:pPr>
              <w:widowControl w:val="0"/>
              <w:rPr>
                <w:rFonts w:ascii="Times New Roman" w:hAnsi="Times New Roman"/>
                <w:lang w:val="en-US"/>
              </w:rPr>
            </w:pPr>
            <w:r w:rsidRPr="00230A84">
              <w:rPr>
                <w:rFonts w:ascii="Times New Roman" w:hAnsi="Times New Roman"/>
                <w:lang w:val="en-US"/>
              </w:rPr>
              <w:t>BAKTERİLER</w:t>
            </w:r>
          </w:p>
        </w:tc>
        <w:tc>
          <w:tcPr>
            <w:tcW w:w="3206" w:type="pct"/>
            <w:gridSpan w:val="5"/>
            <w:vAlign w:val="center"/>
          </w:tcPr>
          <w:p w14:paraId="62009135" w14:textId="77777777" w:rsidR="007943A0" w:rsidRPr="00230A84" w:rsidRDefault="007943A0" w:rsidP="007943A0">
            <w:pPr>
              <w:widowControl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lang w:val="en-US"/>
              </w:rPr>
            </w:pPr>
          </w:p>
          <w:p w14:paraId="4ACF9491" w14:textId="77777777" w:rsidR="007943A0" w:rsidRPr="00230A84" w:rsidRDefault="007943A0" w:rsidP="007943A0">
            <w:pPr>
              <w:widowControl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İNHİBİSYON ZON ÇAPLARI (mm)</w:t>
            </w:r>
          </w:p>
        </w:tc>
      </w:tr>
      <w:tr w:rsidR="007943A0" w:rsidRPr="007943A0" w14:paraId="36DA0304" w14:textId="77777777" w:rsidTr="007943A0">
        <w:trPr>
          <w:cnfStyle w:val="000000100000" w:firstRow="0" w:lastRow="0" w:firstColumn="0" w:lastColumn="0" w:oddVBand="0" w:evenVBand="0" w:oddHBand="1" w:evenHBand="0" w:firstRowFirstColumn="0" w:firstRowLastColumn="0" w:lastRowFirstColumn="0" w:lastRowLastColumn="0"/>
          <w:trHeight w:val="657"/>
        </w:trPr>
        <w:tc>
          <w:tcPr>
            <w:cnfStyle w:val="001000000000" w:firstRow="0" w:lastRow="0" w:firstColumn="1" w:lastColumn="0" w:oddVBand="0" w:evenVBand="0" w:oddHBand="0" w:evenHBand="0" w:firstRowFirstColumn="0" w:firstRowLastColumn="0" w:lastRowFirstColumn="0" w:lastRowLastColumn="0"/>
            <w:tcW w:w="1794" w:type="pct"/>
            <w:vMerge/>
          </w:tcPr>
          <w:p w14:paraId="00D0BE2C" w14:textId="77777777" w:rsidR="007943A0" w:rsidRPr="00230A84" w:rsidRDefault="007943A0" w:rsidP="007943A0">
            <w:pPr>
              <w:widowControl w:val="0"/>
              <w:rPr>
                <w:rFonts w:ascii="Times New Roman" w:hAnsi="Times New Roman"/>
                <w:sz w:val="20"/>
                <w:szCs w:val="20"/>
                <w:lang w:val="en-US"/>
              </w:rPr>
            </w:pPr>
          </w:p>
        </w:tc>
        <w:tc>
          <w:tcPr>
            <w:tcW w:w="672" w:type="pct"/>
            <w:vAlign w:val="center"/>
          </w:tcPr>
          <w:p w14:paraId="631C611E" w14:textId="77777777" w:rsidR="007943A0" w:rsidRPr="00230A84" w:rsidRDefault="007943A0" w:rsidP="007943A0">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shd w:val="clear" w:color="auto" w:fill="FFFFFF"/>
                <w:lang w:val="en-US"/>
              </w:rPr>
            </w:pPr>
            <w:r w:rsidRPr="00230A84">
              <w:rPr>
                <w:rFonts w:ascii="Times New Roman" w:hAnsi="Times New Roman"/>
                <w:b/>
                <w:shd w:val="clear" w:color="auto" w:fill="FFFFFF"/>
                <w:lang w:val="en-US"/>
              </w:rPr>
              <w:t>Madde</w:t>
            </w:r>
          </w:p>
          <w:p w14:paraId="52C6B283"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lang w:val="en-US"/>
              </w:rPr>
            </w:pPr>
            <w:r w:rsidRPr="00230A84">
              <w:rPr>
                <w:rFonts w:ascii="Times New Roman" w:hAnsi="Times New Roman"/>
                <w:b/>
                <w:lang w:val="en-US"/>
              </w:rPr>
              <w:t>(Etanol)</w:t>
            </w:r>
          </w:p>
        </w:tc>
        <w:tc>
          <w:tcPr>
            <w:tcW w:w="672" w:type="pct"/>
            <w:vAlign w:val="center"/>
          </w:tcPr>
          <w:p w14:paraId="2BBB1F23" w14:textId="77777777" w:rsidR="007943A0" w:rsidRPr="00230A84" w:rsidRDefault="007943A0" w:rsidP="007943A0">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shd w:val="clear" w:color="auto" w:fill="FFFFFF"/>
                <w:lang w:val="en-US"/>
              </w:rPr>
            </w:pPr>
            <w:r w:rsidRPr="00230A84">
              <w:rPr>
                <w:rFonts w:ascii="Times New Roman" w:hAnsi="Times New Roman"/>
                <w:b/>
                <w:shd w:val="clear" w:color="auto" w:fill="FFFFFF"/>
                <w:lang w:val="en-US"/>
              </w:rPr>
              <w:t>Madde</w:t>
            </w:r>
          </w:p>
          <w:p w14:paraId="44A6497F"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b/>
                <w:shd w:val="clear" w:color="auto" w:fill="FFFFFF"/>
                <w:lang w:val="en-US"/>
              </w:rPr>
              <w:t>(DMSO)</w:t>
            </w:r>
          </w:p>
        </w:tc>
        <w:tc>
          <w:tcPr>
            <w:tcW w:w="729" w:type="pct"/>
            <w:vAlign w:val="center"/>
          </w:tcPr>
          <w:p w14:paraId="3A5E676D"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lang w:val="en-US"/>
              </w:rPr>
            </w:pPr>
            <w:r w:rsidRPr="00230A84">
              <w:rPr>
                <w:rFonts w:ascii="Times New Roman" w:hAnsi="Times New Roman"/>
                <w:b/>
                <w:lang w:val="en-US"/>
              </w:rPr>
              <w:t>Ampisilin/</w:t>
            </w:r>
          </w:p>
          <w:p w14:paraId="52B295B7"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b/>
                <w:lang w:val="en-US"/>
              </w:rPr>
              <w:t>sulbaktam</w:t>
            </w:r>
          </w:p>
        </w:tc>
        <w:tc>
          <w:tcPr>
            <w:tcW w:w="740" w:type="pct"/>
            <w:vAlign w:val="center"/>
          </w:tcPr>
          <w:p w14:paraId="28267482"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b/>
                <w:lang w:val="en-US"/>
              </w:rPr>
              <w:t>Basitrasin</w:t>
            </w:r>
          </w:p>
        </w:tc>
        <w:tc>
          <w:tcPr>
            <w:tcW w:w="393" w:type="pct"/>
            <w:vAlign w:val="center"/>
          </w:tcPr>
          <w:p w14:paraId="66506FB3" w14:textId="77777777" w:rsidR="007943A0" w:rsidRPr="007943A0" w:rsidRDefault="007943A0" w:rsidP="007943A0">
            <w:pPr>
              <w:widowControl w:val="0"/>
              <w:cnfStyle w:val="000000100000" w:firstRow="0" w:lastRow="0" w:firstColumn="0" w:lastColumn="0" w:oddVBand="0" w:evenVBand="0" w:oddHBand="1" w:evenHBand="0" w:firstRowFirstColumn="0" w:firstRowLastColumn="0" w:lastRowFirstColumn="0" w:lastRowLastColumn="0"/>
              <w:rPr>
                <w:lang w:val="en-US"/>
              </w:rPr>
            </w:pPr>
          </w:p>
        </w:tc>
      </w:tr>
      <w:tr w:rsidR="007943A0" w:rsidRPr="007943A0" w14:paraId="6D5A0B62" w14:textId="77777777" w:rsidTr="007943A0">
        <w:trPr>
          <w:trHeight w:val="458"/>
        </w:trPr>
        <w:tc>
          <w:tcPr>
            <w:cnfStyle w:val="001000000000" w:firstRow="0" w:lastRow="0" w:firstColumn="1" w:lastColumn="0" w:oddVBand="0" w:evenVBand="0" w:oddHBand="0" w:evenHBand="0" w:firstRowFirstColumn="0" w:firstRowLastColumn="0" w:lastRowFirstColumn="0" w:lastRowLastColumn="0"/>
            <w:tcW w:w="1794" w:type="pct"/>
            <w:vAlign w:val="center"/>
          </w:tcPr>
          <w:p w14:paraId="64B273E3" w14:textId="77777777" w:rsidR="007943A0" w:rsidRPr="00230A84" w:rsidRDefault="007943A0" w:rsidP="007943A0">
            <w:pPr>
              <w:widowControl w:val="0"/>
              <w:rPr>
                <w:rFonts w:ascii="Times New Roman" w:hAnsi="Times New Roman"/>
                <w:lang w:val="en-US"/>
              </w:rPr>
            </w:pPr>
            <w:r w:rsidRPr="00230A84">
              <w:rPr>
                <w:rFonts w:ascii="Times New Roman" w:hAnsi="Times New Roman"/>
                <w:i/>
                <w:shd w:val="clear" w:color="auto" w:fill="FFFFFF"/>
                <w:lang w:val="en-US"/>
              </w:rPr>
              <w:t>S. aureus</w:t>
            </w:r>
            <w:r w:rsidRPr="00230A84">
              <w:rPr>
                <w:rFonts w:ascii="Times New Roman" w:hAnsi="Times New Roman"/>
                <w:lang w:val="en-US"/>
              </w:rPr>
              <w:t xml:space="preserve"> ATCC 29213</w:t>
            </w:r>
          </w:p>
        </w:tc>
        <w:tc>
          <w:tcPr>
            <w:tcW w:w="672" w:type="pct"/>
            <w:vAlign w:val="center"/>
          </w:tcPr>
          <w:p w14:paraId="2D14B796"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32</w:t>
            </w:r>
          </w:p>
        </w:tc>
        <w:tc>
          <w:tcPr>
            <w:tcW w:w="672" w:type="pct"/>
            <w:vAlign w:val="center"/>
          </w:tcPr>
          <w:p w14:paraId="0ED3D375"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17</w:t>
            </w:r>
          </w:p>
        </w:tc>
        <w:tc>
          <w:tcPr>
            <w:tcW w:w="729" w:type="pct"/>
            <w:vAlign w:val="center"/>
          </w:tcPr>
          <w:p w14:paraId="6F63DA6F"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23</w:t>
            </w:r>
          </w:p>
        </w:tc>
        <w:tc>
          <w:tcPr>
            <w:tcW w:w="740" w:type="pct"/>
            <w:vAlign w:val="center"/>
          </w:tcPr>
          <w:p w14:paraId="64BFD799"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25</w:t>
            </w:r>
          </w:p>
        </w:tc>
        <w:tc>
          <w:tcPr>
            <w:tcW w:w="393" w:type="pct"/>
            <w:vAlign w:val="center"/>
          </w:tcPr>
          <w:p w14:paraId="2EBEEB6A" w14:textId="77777777" w:rsidR="007943A0" w:rsidRPr="007943A0" w:rsidRDefault="007943A0" w:rsidP="007943A0">
            <w:pPr>
              <w:widowControl w:val="0"/>
              <w:cnfStyle w:val="000000000000" w:firstRow="0" w:lastRow="0" w:firstColumn="0" w:lastColumn="0" w:oddVBand="0" w:evenVBand="0" w:oddHBand="0" w:evenHBand="0" w:firstRowFirstColumn="0" w:firstRowLastColumn="0" w:lastRowFirstColumn="0" w:lastRowLastColumn="0"/>
              <w:rPr>
                <w:lang w:val="en-US"/>
              </w:rPr>
            </w:pPr>
          </w:p>
        </w:tc>
      </w:tr>
      <w:tr w:rsidR="007943A0" w:rsidRPr="007943A0" w14:paraId="62A05BFE" w14:textId="77777777" w:rsidTr="007943A0">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1794" w:type="pct"/>
            <w:vAlign w:val="center"/>
          </w:tcPr>
          <w:p w14:paraId="3273B28D" w14:textId="77777777" w:rsidR="007943A0" w:rsidRPr="00230A84" w:rsidRDefault="007943A0" w:rsidP="007943A0">
            <w:pPr>
              <w:widowControl w:val="0"/>
              <w:rPr>
                <w:rFonts w:ascii="Times New Roman" w:hAnsi="Times New Roman"/>
                <w:lang w:val="en-US"/>
              </w:rPr>
            </w:pPr>
            <w:r w:rsidRPr="00230A84">
              <w:rPr>
                <w:rFonts w:ascii="Times New Roman" w:hAnsi="Times New Roman"/>
                <w:i/>
                <w:lang w:val="en-US"/>
              </w:rPr>
              <w:t xml:space="preserve">E. coli </w:t>
            </w:r>
            <w:r w:rsidRPr="00230A84">
              <w:rPr>
                <w:rFonts w:ascii="Times New Roman" w:hAnsi="Times New Roman"/>
                <w:lang w:val="en-US"/>
              </w:rPr>
              <w:t>35218</w:t>
            </w:r>
          </w:p>
        </w:tc>
        <w:tc>
          <w:tcPr>
            <w:tcW w:w="672" w:type="pct"/>
            <w:vAlign w:val="center"/>
          </w:tcPr>
          <w:p w14:paraId="1B95A01E"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25</w:t>
            </w:r>
          </w:p>
        </w:tc>
        <w:tc>
          <w:tcPr>
            <w:tcW w:w="672" w:type="pct"/>
            <w:vAlign w:val="center"/>
          </w:tcPr>
          <w:p w14:paraId="562C7105"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16</w:t>
            </w:r>
          </w:p>
        </w:tc>
        <w:tc>
          <w:tcPr>
            <w:tcW w:w="729" w:type="pct"/>
            <w:vAlign w:val="center"/>
          </w:tcPr>
          <w:p w14:paraId="01F8A9A8"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9</w:t>
            </w:r>
          </w:p>
        </w:tc>
        <w:tc>
          <w:tcPr>
            <w:tcW w:w="740" w:type="pct"/>
            <w:vAlign w:val="center"/>
          </w:tcPr>
          <w:p w14:paraId="3B914788"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w:t>
            </w:r>
          </w:p>
        </w:tc>
        <w:tc>
          <w:tcPr>
            <w:tcW w:w="393" w:type="pct"/>
            <w:vAlign w:val="center"/>
          </w:tcPr>
          <w:p w14:paraId="4F71FA69" w14:textId="77777777" w:rsidR="007943A0" w:rsidRPr="007943A0"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lang w:val="en-US"/>
              </w:rPr>
            </w:pPr>
          </w:p>
        </w:tc>
      </w:tr>
      <w:tr w:rsidR="007943A0" w:rsidRPr="007943A0" w14:paraId="61636561" w14:textId="77777777" w:rsidTr="007943A0">
        <w:trPr>
          <w:trHeight w:val="458"/>
        </w:trPr>
        <w:tc>
          <w:tcPr>
            <w:cnfStyle w:val="001000000000" w:firstRow="0" w:lastRow="0" w:firstColumn="1" w:lastColumn="0" w:oddVBand="0" w:evenVBand="0" w:oddHBand="0" w:evenHBand="0" w:firstRowFirstColumn="0" w:firstRowLastColumn="0" w:lastRowFirstColumn="0" w:lastRowLastColumn="0"/>
            <w:tcW w:w="1794" w:type="pct"/>
            <w:vAlign w:val="center"/>
          </w:tcPr>
          <w:p w14:paraId="3CF614E9" w14:textId="77777777" w:rsidR="007943A0" w:rsidRPr="00230A84" w:rsidRDefault="007943A0" w:rsidP="007943A0">
            <w:pPr>
              <w:widowControl w:val="0"/>
              <w:rPr>
                <w:rFonts w:ascii="Times New Roman" w:hAnsi="Times New Roman"/>
                <w:lang w:val="en-US"/>
              </w:rPr>
            </w:pPr>
            <w:r w:rsidRPr="00230A84">
              <w:rPr>
                <w:rFonts w:ascii="Times New Roman" w:hAnsi="Times New Roman"/>
                <w:i/>
                <w:lang w:val="en-US"/>
              </w:rPr>
              <w:t xml:space="preserve">E. coli </w:t>
            </w:r>
            <w:r w:rsidRPr="00230A84">
              <w:rPr>
                <w:rFonts w:ascii="Times New Roman" w:hAnsi="Times New Roman"/>
                <w:lang w:val="en-US"/>
              </w:rPr>
              <w:t>25922</w:t>
            </w:r>
          </w:p>
        </w:tc>
        <w:tc>
          <w:tcPr>
            <w:tcW w:w="672" w:type="pct"/>
            <w:vAlign w:val="center"/>
          </w:tcPr>
          <w:p w14:paraId="478D0F3A"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21</w:t>
            </w:r>
          </w:p>
        </w:tc>
        <w:tc>
          <w:tcPr>
            <w:tcW w:w="672" w:type="pct"/>
            <w:vAlign w:val="center"/>
          </w:tcPr>
          <w:p w14:paraId="098E0315"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10</w:t>
            </w:r>
          </w:p>
        </w:tc>
        <w:tc>
          <w:tcPr>
            <w:tcW w:w="729" w:type="pct"/>
            <w:vAlign w:val="center"/>
          </w:tcPr>
          <w:p w14:paraId="2818FC65"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17</w:t>
            </w:r>
          </w:p>
        </w:tc>
        <w:tc>
          <w:tcPr>
            <w:tcW w:w="740" w:type="pct"/>
            <w:vAlign w:val="center"/>
          </w:tcPr>
          <w:p w14:paraId="61977845"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18</w:t>
            </w:r>
          </w:p>
        </w:tc>
        <w:tc>
          <w:tcPr>
            <w:tcW w:w="393" w:type="pct"/>
            <w:vAlign w:val="center"/>
          </w:tcPr>
          <w:p w14:paraId="0AEDD725" w14:textId="77777777" w:rsidR="007943A0" w:rsidRPr="007943A0" w:rsidRDefault="007943A0" w:rsidP="007943A0">
            <w:pPr>
              <w:widowControl w:val="0"/>
              <w:cnfStyle w:val="000000000000" w:firstRow="0" w:lastRow="0" w:firstColumn="0" w:lastColumn="0" w:oddVBand="0" w:evenVBand="0" w:oddHBand="0" w:evenHBand="0" w:firstRowFirstColumn="0" w:firstRowLastColumn="0" w:lastRowFirstColumn="0" w:lastRowLastColumn="0"/>
              <w:rPr>
                <w:lang w:val="en-US"/>
              </w:rPr>
            </w:pPr>
          </w:p>
        </w:tc>
      </w:tr>
      <w:tr w:rsidR="007943A0" w:rsidRPr="007943A0" w14:paraId="74B46BEA" w14:textId="77777777" w:rsidTr="007943A0">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1794" w:type="pct"/>
            <w:vAlign w:val="center"/>
          </w:tcPr>
          <w:p w14:paraId="3D352A42" w14:textId="77777777" w:rsidR="007943A0" w:rsidRPr="00230A84" w:rsidRDefault="007943A0" w:rsidP="007943A0">
            <w:pPr>
              <w:widowControl w:val="0"/>
              <w:rPr>
                <w:rFonts w:ascii="Times New Roman" w:hAnsi="Times New Roman"/>
                <w:lang w:val="en-US"/>
              </w:rPr>
            </w:pPr>
            <w:r w:rsidRPr="00230A84">
              <w:rPr>
                <w:rFonts w:ascii="Times New Roman" w:hAnsi="Times New Roman"/>
                <w:i/>
                <w:lang w:val="en-US"/>
              </w:rPr>
              <w:t xml:space="preserve">K.pnemoniae </w:t>
            </w:r>
            <w:r w:rsidRPr="00230A84">
              <w:rPr>
                <w:rFonts w:ascii="Times New Roman" w:hAnsi="Times New Roman"/>
                <w:lang w:val="en-US"/>
              </w:rPr>
              <w:t>BL 2003</w:t>
            </w:r>
          </w:p>
        </w:tc>
        <w:tc>
          <w:tcPr>
            <w:tcW w:w="672" w:type="pct"/>
            <w:vAlign w:val="center"/>
          </w:tcPr>
          <w:p w14:paraId="3BA2EEA8"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19</w:t>
            </w:r>
          </w:p>
        </w:tc>
        <w:tc>
          <w:tcPr>
            <w:tcW w:w="672" w:type="pct"/>
            <w:vAlign w:val="center"/>
          </w:tcPr>
          <w:p w14:paraId="74AA8436"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w:t>
            </w:r>
          </w:p>
        </w:tc>
        <w:tc>
          <w:tcPr>
            <w:tcW w:w="729" w:type="pct"/>
            <w:vAlign w:val="center"/>
          </w:tcPr>
          <w:p w14:paraId="4C9EFC02"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9</w:t>
            </w:r>
          </w:p>
        </w:tc>
        <w:tc>
          <w:tcPr>
            <w:tcW w:w="740" w:type="pct"/>
            <w:vAlign w:val="center"/>
          </w:tcPr>
          <w:p w14:paraId="0A36C441"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w:t>
            </w:r>
          </w:p>
        </w:tc>
        <w:tc>
          <w:tcPr>
            <w:tcW w:w="393" w:type="pct"/>
            <w:vAlign w:val="center"/>
          </w:tcPr>
          <w:p w14:paraId="721397D3" w14:textId="77777777" w:rsidR="007943A0" w:rsidRPr="007943A0"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lang w:val="en-US"/>
              </w:rPr>
            </w:pPr>
          </w:p>
        </w:tc>
      </w:tr>
      <w:tr w:rsidR="007943A0" w:rsidRPr="007943A0" w14:paraId="58F020BC" w14:textId="77777777" w:rsidTr="007943A0">
        <w:trPr>
          <w:trHeight w:val="458"/>
        </w:trPr>
        <w:tc>
          <w:tcPr>
            <w:cnfStyle w:val="001000000000" w:firstRow="0" w:lastRow="0" w:firstColumn="1" w:lastColumn="0" w:oddVBand="0" w:evenVBand="0" w:oddHBand="0" w:evenHBand="0" w:firstRowFirstColumn="0" w:firstRowLastColumn="0" w:lastRowFirstColumn="0" w:lastRowLastColumn="0"/>
            <w:tcW w:w="1794" w:type="pct"/>
            <w:vAlign w:val="center"/>
          </w:tcPr>
          <w:p w14:paraId="489CF05C" w14:textId="77777777" w:rsidR="007943A0" w:rsidRPr="00230A84" w:rsidRDefault="007943A0" w:rsidP="007943A0">
            <w:pPr>
              <w:widowControl w:val="0"/>
              <w:rPr>
                <w:rFonts w:ascii="Times New Roman" w:hAnsi="Times New Roman"/>
                <w:lang w:val="en-US"/>
              </w:rPr>
            </w:pPr>
            <w:r w:rsidRPr="00230A84">
              <w:rPr>
                <w:rFonts w:ascii="Times New Roman" w:hAnsi="Times New Roman"/>
                <w:i/>
                <w:shd w:val="clear" w:color="auto" w:fill="FFFFFF"/>
                <w:lang w:val="en-US"/>
              </w:rPr>
              <w:t xml:space="preserve">E. faecalis </w:t>
            </w:r>
            <w:r w:rsidRPr="00230A84">
              <w:rPr>
                <w:rFonts w:ascii="Times New Roman" w:hAnsi="Times New Roman"/>
                <w:shd w:val="clear" w:color="auto" w:fill="FFFFFF"/>
                <w:lang w:val="en-US"/>
              </w:rPr>
              <w:t>ATCC</w:t>
            </w:r>
            <w:r w:rsidRPr="00230A84">
              <w:rPr>
                <w:rFonts w:ascii="Times New Roman" w:hAnsi="Times New Roman"/>
                <w:lang w:val="en-US"/>
              </w:rPr>
              <w:t xml:space="preserve">29212 </w:t>
            </w:r>
          </w:p>
        </w:tc>
        <w:tc>
          <w:tcPr>
            <w:tcW w:w="672" w:type="pct"/>
            <w:vAlign w:val="center"/>
          </w:tcPr>
          <w:p w14:paraId="47BDD91B"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21</w:t>
            </w:r>
          </w:p>
        </w:tc>
        <w:tc>
          <w:tcPr>
            <w:tcW w:w="672" w:type="pct"/>
            <w:vAlign w:val="center"/>
          </w:tcPr>
          <w:p w14:paraId="593EB8EC"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w:t>
            </w:r>
          </w:p>
        </w:tc>
        <w:tc>
          <w:tcPr>
            <w:tcW w:w="729" w:type="pct"/>
            <w:vAlign w:val="center"/>
          </w:tcPr>
          <w:p w14:paraId="564926F3"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21</w:t>
            </w:r>
          </w:p>
        </w:tc>
        <w:tc>
          <w:tcPr>
            <w:tcW w:w="740" w:type="pct"/>
            <w:vAlign w:val="center"/>
          </w:tcPr>
          <w:p w14:paraId="4F6823B9"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22</w:t>
            </w:r>
          </w:p>
        </w:tc>
        <w:tc>
          <w:tcPr>
            <w:tcW w:w="393" w:type="pct"/>
            <w:vAlign w:val="center"/>
          </w:tcPr>
          <w:p w14:paraId="692F5C2D" w14:textId="77777777" w:rsidR="007943A0" w:rsidRPr="007943A0"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lang w:val="en-US"/>
              </w:rPr>
            </w:pPr>
          </w:p>
        </w:tc>
      </w:tr>
      <w:tr w:rsidR="007943A0" w:rsidRPr="007943A0" w14:paraId="353FB10C" w14:textId="77777777" w:rsidTr="007943A0">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1794" w:type="pct"/>
            <w:vAlign w:val="center"/>
          </w:tcPr>
          <w:p w14:paraId="0F24A5D7" w14:textId="77777777" w:rsidR="007943A0" w:rsidRPr="00230A84" w:rsidRDefault="007943A0" w:rsidP="007943A0">
            <w:pPr>
              <w:widowControl w:val="0"/>
              <w:rPr>
                <w:rFonts w:ascii="Times New Roman" w:hAnsi="Times New Roman"/>
                <w:lang w:val="en-US"/>
              </w:rPr>
            </w:pPr>
            <w:r w:rsidRPr="00230A84">
              <w:rPr>
                <w:rFonts w:ascii="Times New Roman" w:hAnsi="Times New Roman"/>
                <w:i/>
                <w:lang w:val="en-US"/>
              </w:rPr>
              <w:t xml:space="preserve">P.aeruginosa </w:t>
            </w:r>
            <w:r w:rsidRPr="00230A84">
              <w:rPr>
                <w:rFonts w:ascii="Times New Roman" w:hAnsi="Times New Roman"/>
                <w:lang w:val="en-US"/>
              </w:rPr>
              <w:t>27853</w:t>
            </w:r>
          </w:p>
        </w:tc>
        <w:tc>
          <w:tcPr>
            <w:tcW w:w="672" w:type="pct"/>
            <w:vAlign w:val="center"/>
          </w:tcPr>
          <w:p w14:paraId="0BFADEE8"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14</w:t>
            </w:r>
          </w:p>
        </w:tc>
        <w:tc>
          <w:tcPr>
            <w:tcW w:w="672" w:type="pct"/>
            <w:vAlign w:val="center"/>
          </w:tcPr>
          <w:p w14:paraId="32462DCB"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w:t>
            </w:r>
          </w:p>
        </w:tc>
        <w:tc>
          <w:tcPr>
            <w:tcW w:w="729" w:type="pct"/>
            <w:vAlign w:val="center"/>
          </w:tcPr>
          <w:p w14:paraId="49579179"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18,5</w:t>
            </w:r>
          </w:p>
        </w:tc>
        <w:tc>
          <w:tcPr>
            <w:tcW w:w="740" w:type="pct"/>
            <w:vAlign w:val="center"/>
          </w:tcPr>
          <w:p w14:paraId="3F74A8CC" w14:textId="77777777" w:rsidR="007943A0" w:rsidRPr="00230A84" w:rsidRDefault="007943A0" w:rsidP="007943A0">
            <w:pPr>
              <w:widowControl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lang w:val="en-US"/>
              </w:rPr>
            </w:pPr>
            <w:r w:rsidRPr="00230A84">
              <w:rPr>
                <w:rFonts w:ascii="Times New Roman" w:hAnsi="Times New Roman"/>
                <w:lang w:val="en-US"/>
              </w:rPr>
              <w:t>21</w:t>
            </w:r>
          </w:p>
        </w:tc>
        <w:tc>
          <w:tcPr>
            <w:tcW w:w="393" w:type="pct"/>
            <w:vAlign w:val="center"/>
          </w:tcPr>
          <w:p w14:paraId="797C6BC7" w14:textId="77777777" w:rsidR="007943A0" w:rsidRPr="007943A0" w:rsidRDefault="007943A0" w:rsidP="007943A0">
            <w:pPr>
              <w:widowControl w:val="0"/>
              <w:cnfStyle w:val="000000100000" w:firstRow="0" w:lastRow="0" w:firstColumn="0" w:lastColumn="0" w:oddVBand="0" w:evenVBand="0" w:oddHBand="1" w:evenHBand="0" w:firstRowFirstColumn="0" w:firstRowLastColumn="0" w:lastRowFirstColumn="0" w:lastRowLastColumn="0"/>
              <w:rPr>
                <w:lang w:val="en-US"/>
              </w:rPr>
            </w:pPr>
          </w:p>
        </w:tc>
      </w:tr>
      <w:tr w:rsidR="007943A0" w:rsidRPr="007943A0" w14:paraId="3278B063" w14:textId="77777777" w:rsidTr="007943A0">
        <w:trPr>
          <w:trHeight w:val="458"/>
        </w:trPr>
        <w:tc>
          <w:tcPr>
            <w:cnfStyle w:val="001000000000" w:firstRow="0" w:lastRow="0" w:firstColumn="1" w:lastColumn="0" w:oddVBand="0" w:evenVBand="0" w:oddHBand="0" w:evenHBand="0" w:firstRowFirstColumn="0" w:firstRowLastColumn="0" w:lastRowFirstColumn="0" w:lastRowLastColumn="0"/>
            <w:tcW w:w="1794" w:type="pct"/>
            <w:vAlign w:val="center"/>
          </w:tcPr>
          <w:p w14:paraId="6777E7A8" w14:textId="77777777" w:rsidR="007943A0" w:rsidRPr="00230A84" w:rsidRDefault="007943A0" w:rsidP="007943A0">
            <w:pPr>
              <w:widowControl w:val="0"/>
              <w:rPr>
                <w:rFonts w:ascii="Times New Roman" w:hAnsi="Times New Roman"/>
                <w:lang w:val="en-US"/>
              </w:rPr>
            </w:pPr>
            <w:r w:rsidRPr="00230A84">
              <w:rPr>
                <w:rFonts w:ascii="Times New Roman" w:hAnsi="Times New Roman"/>
                <w:i/>
                <w:lang w:val="en-US"/>
              </w:rPr>
              <w:t xml:space="preserve">P. putida </w:t>
            </w:r>
            <w:r w:rsidRPr="00230A84">
              <w:rPr>
                <w:rFonts w:ascii="Times New Roman" w:hAnsi="Times New Roman"/>
                <w:lang w:val="en-US"/>
              </w:rPr>
              <w:t>BC1617</w:t>
            </w:r>
          </w:p>
        </w:tc>
        <w:tc>
          <w:tcPr>
            <w:tcW w:w="672" w:type="pct"/>
            <w:vAlign w:val="center"/>
          </w:tcPr>
          <w:p w14:paraId="7DFF111D"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21</w:t>
            </w:r>
          </w:p>
        </w:tc>
        <w:tc>
          <w:tcPr>
            <w:tcW w:w="672" w:type="pct"/>
            <w:vAlign w:val="center"/>
          </w:tcPr>
          <w:p w14:paraId="3D4073C1"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12</w:t>
            </w:r>
          </w:p>
        </w:tc>
        <w:tc>
          <w:tcPr>
            <w:tcW w:w="729" w:type="pct"/>
            <w:vAlign w:val="center"/>
          </w:tcPr>
          <w:p w14:paraId="6CA59471"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11</w:t>
            </w:r>
          </w:p>
        </w:tc>
        <w:tc>
          <w:tcPr>
            <w:tcW w:w="740" w:type="pct"/>
            <w:vAlign w:val="center"/>
          </w:tcPr>
          <w:p w14:paraId="273CB162" w14:textId="77777777" w:rsidR="007943A0" w:rsidRPr="00230A84"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230A84">
              <w:rPr>
                <w:rFonts w:ascii="Times New Roman" w:hAnsi="Times New Roman"/>
                <w:lang w:val="en-US"/>
              </w:rPr>
              <w:t>9</w:t>
            </w:r>
          </w:p>
        </w:tc>
        <w:tc>
          <w:tcPr>
            <w:tcW w:w="393" w:type="pct"/>
            <w:vAlign w:val="center"/>
          </w:tcPr>
          <w:p w14:paraId="5E6DB9AB" w14:textId="77777777" w:rsidR="007943A0" w:rsidRPr="007943A0" w:rsidRDefault="007943A0" w:rsidP="007943A0">
            <w:pPr>
              <w:widowControl w:val="0"/>
              <w:jc w:val="center"/>
              <w:cnfStyle w:val="000000000000" w:firstRow="0" w:lastRow="0" w:firstColumn="0" w:lastColumn="0" w:oddVBand="0" w:evenVBand="0" w:oddHBand="0" w:evenHBand="0" w:firstRowFirstColumn="0" w:firstRowLastColumn="0" w:lastRowFirstColumn="0" w:lastRowLastColumn="0"/>
              <w:rPr>
                <w:lang w:val="en-US"/>
              </w:rPr>
            </w:pPr>
          </w:p>
        </w:tc>
      </w:tr>
    </w:tbl>
    <w:p w14:paraId="6492E7E4" w14:textId="77777777" w:rsidR="00BD52CF" w:rsidRDefault="00BD52CF" w:rsidP="009E5113">
      <w:pPr>
        <w:widowControl w:val="0"/>
        <w:tabs>
          <w:tab w:val="left" w:pos="6521"/>
        </w:tabs>
        <w:spacing w:after="0" w:line="240" w:lineRule="auto"/>
        <w:ind w:right="116"/>
        <w:jc w:val="center"/>
        <w:rPr>
          <w:rFonts w:eastAsia="Times New Roman"/>
          <w:color w:val="auto"/>
          <w:spacing w:val="-1"/>
          <w:kern w:val="16"/>
          <w:lang w:val="en-US" w:eastAsia="en-US"/>
        </w:rPr>
      </w:pPr>
    </w:p>
    <w:p w14:paraId="34E7EB7C" w14:textId="77777777" w:rsidR="006B531D" w:rsidRDefault="006B531D" w:rsidP="006B531D">
      <w:pPr>
        <w:widowControl w:val="0"/>
        <w:spacing w:after="0" w:line="240" w:lineRule="auto"/>
        <w:ind w:right="116"/>
        <w:rPr>
          <w:rFonts w:eastAsia="Times New Roman"/>
          <w:color w:val="auto"/>
          <w:spacing w:val="-1"/>
          <w:kern w:val="16"/>
          <w:lang w:val="en-US" w:eastAsia="en-US"/>
        </w:rPr>
      </w:pPr>
    </w:p>
    <w:p w14:paraId="33B52342" w14:textId="0C3E00E9" w:rsidR="006B531D" w:rsidRDefault="007943A0" w:rsidP="006B531D">
      <w:pPr>
        <w:widowControl w:val="0"/>
        <w:spacing w:after="0" w:line="240" w:lineRule="auto"/>
        <w:ind w:right="116"/>
        <w:jc w:val="center"/>
        <w:rPr>
          <w:rFonts w:eastAsia="Times New Roman"/>
          <w:color w:val="auto"/>
          <w:spacing w:val="-1"/>
          <w:kern w:val="16"/>
          <w:highlight w:val="yellow"/>
          <w:lang w:val="en-US" w:eastAsia="en-US"/>
        </w:rPr>
      </w:pPr>
      <w:r w:rsidRPr="007943A0">
        <w:rPr>
          <w:rFonts w:eastAsia="Times New Roman"/>
          <w:bCs/>
          <w:noProof/>
          <w:color w:val="auto"/>
          <w:kern w:val="16"/>
        </w:rPr>
        <w:lastRenderedPageBreak/>
        <w:drawing>
          <wp:inline distT="0" distB="0" distL="0" distR="0" wp14:anchorId="70495857" wp14:editId="6C7C3270">
            <wp:extent cx="2563695" cy="2468978"/>
            <wp:effectExtent l="76200" t="19050" r="84455" b="140970"/>
            <wp:docPr id="65" name="Resim 65" descr="C:\Users\beyza\Desktop\levent res\B1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eyza\Desktop\levent res\B1aL.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67167" cy="2472322"/>
                    </a:xfrm>
                    <a:prstGeom prst="rect">
                      <a:avLst/>
                    </a:prstGeom>
                    <a:noFill/>
                    <a:ln w="25400" cmpd="sng">
                      <a:solidFill>
                        <a:sysClr val="window" lastClr="FFFFFF">
                          <a:lumMod val="50000"/>
                        </a:sysClr>
                      </a:solidFill>
                      <a:prstDash val="solid"/>
                    </a:ln>
                    <a:effectLst>
                      <a:outerShdw blurRad="50800" dist="50800" dir="5400000" algn="ctr" rotWithShape="0">
                        <a:sysClr val="window" lastClr="FFFFFF"/>
                      </a:outerShdw>
                    </a:effectLst>
                  </pic:spPr>
                </pic:pic>
              </a:graphicData>
            </a:graphic>
          </wp:inline>
        </w:drawing>
      </w:r>
    </w:p>
    <w:p w14:paraId="00A84070" w14:textId="286289AD" w:rsidR="00F7516F" w:rsidRDefault="006B531D" w:rsidP="006B17A0">
      <w:pPr>
        <w:widowControl w:val="0"/>
        <w:tabs>
          <w:tab w:val="left" w:pos="2268"/>
          <w:tab w:val="left" w:pos="6379"/>
        </w:tabs>
        <w:autoSpaceDE w:val="0"/>
        <w:autoSpaceDN w:val="0"/>
        <w:adjustRightInd w:val="0"/>
        <w:spacing w:after="0" w:line="240" w:lineRule="auto"/>
        <w:ind w:left="3402" w:right="2410" w:hanging="1134"/>
        <w:jc w:val="both"/>
        <w:rPr>
          <w:rFonts w:eastAsia="Calibri"/>
          <w:bCs/>
          <w:color w:val="auto"/>
          <w:lang w:val="en-US" w:eastAsia="en-US"/>
        </w:rPr>
      </w:pPr>
      <w:r w:rsidRPr="00C425E6">
        <w:rPr>
          <w:rFonts w:eastAsia="Calibri"/>
          <w:bCs/>
          <w:color w:val="auto"/>
          <w:lang w:val="en-US" w:eastAsia="en-US"/>
        </w:rPr>
        <w:t>Şekil 3.11.</w:t>
      </w:r>
      <w:r w:rsidRPr="007943A0">
        <w:rPr>
          <w:rFonts w:eastAsia="Calibri"/>
          <w:bCs/>
          <w:color w:val="auto"/>
          <w:lang w:val="en-US" w:eastAsia="en-US"/>
        </w:rPr>
        <w:t xml:space="preserve"> Disklere emdirilen maddelerin (A bileşiği etanol (1), B bileşiği etanol (2), A bileşiği</w:t>
      </w:r>
      <w:r w:rsidRPr="007943A0">
        <w:rPr>
          <w:rFonts w:ascii="Calibri" w:eastAsia="Calibri" w:hAnsi="Calibri"/>
          <w:color w:val="auto"/>
          <w:sz w:val="22"/>
          <w:szCs w:val="22"/>
          <w:lang w:val="en-US" w:eastAsia="en-US"/>
        </w:rPr>
        <w:t xml:space="preserve"> </w:t>
      </w:r>
      <w:r w:rsidRPr="007943A0">
        <w:rPr>
          <w:rFonts w:eastAsia="Calibri"/>
          <w:bCs/>
          <w:color w:val="auto"/>
          <w:lang w:val="en-US" w:eastAsia="en-US"/>
        </w:rPr>
        <w:t>DMSO (3)</w:t>
      </w:r>
      <w:r w:rsidRPr="007943A0">
        <w:rPr>
          <w:rFonts w:ascii="Calibri" w:eastAsia="Calibri" w:hAnsi="Calibri"/>
          <w:color w:val="auto"/>
          <w:sz w:val="22"/>
          <w:szCs w:val="22"/>
          <w:lang w:val="en-US" w:eastAsia="en-US"/>
        </w:rPr>
        <w:t xml:space="preserve"> </w:t>
      </w:r>
      <w:r w:rsidRPr="007943A0">
        <w:rPr>
          <w:rFonts w:eastAsia="Calibri"/>
          <w:bCs/>
          <w:color w:val="auto"/>
          <w:lang w:val="en-US" w:eastAsia="en-US"/>
        </w:rPr>
        <w:t xml:space="preserve">B bileşiği DMSO’da (4) çözülerek hazırlandı) </w:t>
      </w:r>
      <w:r w:rsidRPr="007943A0">
        <w:rPr>
          <w:rFonts w:eastAsia="Calibri"/>
          <w:bCs/>
          <w:i/>
          <w:color w:val="auto"/>
          <w:lang w:val="en-US" w:eastAsia="en-US"/>
        </w:rPr>
        <w:t>S. aureus</w:t>
      </w:r>
      <w:r w:rsidRPr="007943A0">
        <w:rPr>
          <w:rFonts w:ascii="Calibri" w:eastAsia="Calibri" w:hAnsi="Calibri"/>
          <w:color w:val="auto"/>
          <w:sz w:val="22"/>
          <w:szCs w:val="22"/>
          <w:lang w:val="en-US" w:eastAsia="en-US"/>
        </w:rPr>
        <w:t xml:space="preserve"> </w:t>
      </w:r>
      <w:r w:rsidRPr="007943A0">
        <w:rPr>
          <w:rFonts w:eastAsia="Calibri"/>
          <w:bCs/>
          <w:color w:val="auto"/>
          <w:lang w:val="en-US" w:eastAsia="en-US"/>
        </w:rPr>
        <w:t>ATCC 29213 üzerinde o</w:t>
      </w:r>
      <w:r>
        <w:rPr>
          <w:rFonts w:eastAsia="Calibri"/>
          <w:bCs/>
          <w:color w:val="auto"/>
          <w:lang w:val="en-US" w:eastAsia="en-US"/>
        </w:rPr>
        <w:t>luşturdukları inhibisyon zonları</w:t>
      </w:r>
    </w:p>
    <w:p w14:paraId="67488C0F" w14:textId="77777777" w:rsidR="00ED6F97" w:rsidRDefault="00ED6F97" w:rsidP="00ED6F97">
      <w:pPr>
        <w:widowControl w:val="0"/>
        <w:tabs>
          <w:tab w:val="left" w:pos="2268"/>
        </w:tabs>
        <w:autoSpaceDE w:val="0"/>
        <w:autoSpaceDN w:val="0"/>
        <w:adjustRightInd w:val="0"/>
        <w:spacing w:after="0" w:line="240" w:lineRule="auto"/>
        <w:ind w:left="3402" w:right="2410" w:hanging="1134"/>
        <w:jc w:val="both"/>
        <w:rPr>
          <w:rFonts w:eastAsia="Calibri"/>
          <w:bCs/>
          <w:color w:val="auto"/>
          <w:lang w:val="en-US" w:eastAsia="en-US"/>
        </w:rPr>
      </w:pPr>
    </w:p>
    <w:p w14:paraId="65320FF6" w14:textId="77777777" w:rsidR="00ED6F97" w:rsidRPr="007943A0" w:rsidRDefault="00ED6F97" w:rsidP="00ED6F97">
      <w:pPr>
        <w:widowControl w:val="0"/>
        <w:tabs>
          <w:tab w:val="left" w:pos="2268"/>
        </w:tabs>
        <w:autoSpaceDE w:val="0"/>
        <w:autoSpaceDN w:val="0"/>
        <w:adjustRightInd w:val="0"/>
        <w:spacing w:after="0" w:line="240" w:lineRule="auto"/>
        <w:ind w:left="3402" w:right="2410" w:hanging="1134"/>
        <w:jc w:val="both"/>
        <w:rPr>
          <w:rFonts w:eastAsia="Calibri"/>
          <w:bCs/>
          <w:color w:val="auto"/>
          <w:lang w:val="en-US" w:eastAsia="en-US"/>
        </w:rPr>
      </w:pPr>
    </w:p>
    <w:p w14:paraId="767E8F85" w14:textId="7054DD2C" w:rsidR="00A60821" w:rsidRDefault="007943A0" w:rsidP="00A60821">
      <w:pPr>
        <w:widowControl w:val="0"/>
        <w:tabs>
          <w:tab w:val="left" w:pos="2127"/>
        </w:tabs>
        <w:spacing w:after="0" w:line="240" w:lineRule="auto"/>
        <w:ind w:left="102" w:right="116" w:hanging="102"/>
        <w:jc w:val="center"/>
        <w:rPr>
          <w:rFonts w:eastAsia="Times New Roman"/>
          <w:color w:val="auto"/>
          <w:spacing w:val="-1"/>
          <w:kern w:val="16"/>
          <w:highlight w:val="yellow"/>
          <w:lang w:val="en-US" w:eastAsia="en-US"/>
        </w:rPr>
      </w:pPr>
      <w:r w:rsidRPr="007943A0">
        <w:rPr>
          <w:rFonts w:eastAsia="Times New Roman"/>
          <w:noProof/>
          <w:color w:val="auto"/>
          <w:spacing w:val="-1"/>
          <w:kern w:val="16"/>
        </w:rPr>
        <w:drawing>
          <wp:inline distT="0" distB="0" distL="0" distR="0" wp14:anchorId="449A0128" wp14:editId="1E14222D">
            <wp:extent cx="2571750" cy="2525653"/>
            <wp:effectExtent l="19050" t="19050" r="19050" b="27305"/>
            <wp:docPr id="66" name="Resim 66" descr="C:\Users\beyza\Desktop\levent res\B6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eyza\Desktop\levent res\B6L.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81056" cy="2534793"/>
                    </a:xfrm>
                    <a:prstGeom prst="rect">
                      <a:avLst/>
                    </a:prstGeom>
                    <a:noFill/>
                    <a:ln w="25400">
                      <a:solidFill>
                        <a:sysClr val="window" lastClr="FFFFFF">
                          <a:lumMod val="50000"/>
                        </a:sysClr>
                      </a:solidFill>
                    </a:ln>
                  </pic:spPr>
                </pic:pic>
              </a:graphicData>
            </a:graphic>
          </wp:inline>
        </w:drawing>
      </w:r>
    </w:p>
    <w:p w14:paraId="32998EC4" w14:textId="77777777" w:rsidR="006B531D" w:rsidRDefault="006B531D" w:rsidP="00A60821">
      <w:pPr>
        <w:widowControl w:val="0"/>
        <w:tabs>
          <w:tab w:val="left" w:pos="2127"/>
        </w:tabs>
        <w:spacing w:after="0" w:line="240" w:lineRule="auto"/>
        <w:ind w:left="102" w:right="116" w:hanging="102"/>
        <w:jc w:val="center"/>
        <w:rPr>
          <w:rFonts w:eastAsia="Times New Roman"/>
          <w:color w:val="auto"/>
          <w:spacing w:val="-1"/>
          <w:kern w:val="16"/>
          <w:highlight w:val="yellow"/>
          <w:lang w:val="en-US" w:eastAsia="en-US"/>
        </w:rPr>
      </w:pPr>
    </w:p>
    <w:p w14:paraId="0CBFEC8D" w14:textId="11FFD379" w:rsidR="006B531D" w:rsidRPr="007943A0" w:rsidRDefault="006B531D" w:rsidP="006B17A0">
      <w:pPr>
        <w:widowControl w:val="0"/>
        <w:tabs>
          <w:tab w:val="left" w:pos="2268"/>
          <w:tab w:val="left" w:pos="6379"/>
        </w:tabs>
        <w:autoSpaceDE w:val="0"/>
        <w:autoSpaceDN w:val="0"/>
        <w:adjustRightInd w:val="0"/>
        <w:spacing w:after="0" w:line="240" w:lineRule="auto"/>
        <w:ind w:left="3430" w:right="2410" w:hanging="3430"/>
        <w:jc w:val="both"/>
        <w:rPr>
          <w:rFonts w:eastAsia="Calibri"/>
          <w:bCs/>
          <w:color w:val="auto"/>
          <w:lang w:val="en-US" w:eastAsia="en-US"/>
        </w:rPr>
      </w:pPr>
      <w:r>
        <w:rPr>
          <w:rFonts w:eastAsia="Calibri"/>
          <w:bCs/>
          <w:color w:val="auto"/>
          <w:lang w:val="en-US" w:eastAsia="en-US"/>
        </w:rPr>
        <w:t xml:space="preserve">                                      </w:t>
      </w:r>
      <w:r w:rsidRPr="00C425E6">
        <w:rPr>
          <w:rFonts w:eastAsia="Calibri"/>
          <w:bCs/>
          <w:color w:val="auto"/>
          <w:lang w:val="en-US" w:eastAsia="en-US"/>
        </w:rPr>
        <w:t>Şekil 3.12.</w:t>
      </w:r>
      <w:r w:rsidRPr="007943A0">
        <w:rPr>
          <w:rFonts w:eastAsia="Calibri"/>
          <w:bCs/>
          <w:color w:val="auto"/>
          <w:lang w:val="en-US" w:eastAsia="en-US"/>
        </w:rPr>
        <w:t xml:space="preserve"> Disklere emdirilen maddelerin </w:t>
      </w:r>
      <w:r w:rsidR="00F7516F">
        <w:rPr>
          <w:rFonts w:eastAsia="Calibri"/>
          <w:bCs/>
          <w:color w:val="auto"/>
          <w:lang w:val="en-US" w:eastAsia="en-US"/>
        </w:rPr>
        <w:t xml:space="preserve">  </w:t>
      </w:r>
      <w:r w:rsidRPr="007943A0">
        <w:rPr>
          <w:rFonts w:eastAsia="Calibri"/>
          <w:bCs/>
          <w:color w:val="auto"/>
          <w:lang w:val="en-US" w:eastAsia="en-US"/>
        </w:rPr>
        <w:t>(A bileşiği (1), B bileşiği etanol (2), A bileşiği</w:t>
      </w:r>
      <w:r w:rsidRPr="007943A0">
        <w:rPr>
          <w:rFonts w:ascii="Calibri" w:eastAsia="Calibri" w:hAnsi="Calibri"/>
          <w:color w:val="auto"/>
          <w:sz w:val="22"/>
          <w:szCs w:val="22"/>
          <w:lang w:val="en-US" w:eastAsia="en-US"/>
        </w:rPr>
        <w:t xml:space="preserve"> </w:t>
      </w:r>
      <w:r w:rsidRPr="007943A0">
        <w:rPr>
          <w:rFonts w:eastAsia="Calibri"/>
          <w:bCs/>
          <w:color w:val="auto"/>
          <w:lang w:val="en-US" w:eastAsia="en-US"/>
        </w:rPr>
        <w:t>DMSO (3)</w:t>
      </w:r>
      <w:r w:rsidRPr="007943A0">
        <w:rPr>
          <w:rFonts w:ascii="Calibri" w:eastAsia="Calibri" w:hAnsi="Calibri"/>
          <w:color w:val="auto"/>
          <w:sz w:val="22"/>
          <w:szCs w:val="22"/>
          <w:lang w:val="en-US" w:eastAsia="en-US"/>
        </w:rPr>
        <w:t xml:space="preserve"> </w:t>
      </w:r>
      <w:r w:rsidRPr="007943A0">
        <w:rPr>
          <w:rFonts w:eastAsia="Calibri"/>
          <w:bCs/>
          <w:color w:val="auto"/>
          <w:lang w:val="en-US" w:eastAsia="en-US"/>
        </w:rPr>
        <w:t>B bileşiği DMSO’da (4)</w:t>
      </w:r>
      <w:r w:rsidRPr="007943A0">
        <w:rPr>
          <w:rFonts w:ascii="Calibri" w:eastAsia="Calibri" w:hAnsi="Calibri"/>
          <w:color w:val="auto"/>
          <w:sz w:val="22"/>
          <w:szCs w:val="22"/>
          <w:lang w:val="en-US" w:eastAsia="en-US"/>
        </w:rPr>
        <w:t xml:space="preserve"> </w:t>
      </w:r>
      <w:r w:rsidRPr="007943A0">
        <w:rPr>
          <w:rFonts w:eastAsia="Calibri"/>
          <w:bCs/>
          <w:color w:val="auto"/>
          <w:lang w:val="en-US" w:eastAsia="en-US"/>
        </w:rPr>
        <w:t xml:space="preserve">çözülerek hazırlandı) </w:t>
      </w:r>
      <w:r w:rsidRPr="007943A0">
        <w:rPr>
          <w:rFonts w:eastAsia="Calibri"/>
          <w:bCs/>
          <w:i/>
          <w:color w:val="auto"/>
          <w:lang w:val="en-US" w:eastAsia="en-US"/>
        </w:rPr>
        <w:t xml:space="preserve">E. coli </w:t>
      </w:r>
      <w:r w:rsidRPr="007943A0">
        <w:rPr>
          <w:rFonts w:eastAsia="Calibri"/>
          <w:bCs/>
          <w:color w:val="auto"/>
          <w:lang w:val="en-US" w:eastAsia="en-US"/>
        </w:rPr>
        <w:t>35218 üzerinde oluşturdukları inhibisyon zonları</w:t>
      </w:r>
    </w:p>
    <w:p w14:paraId="43162AED" w14:textId="77777777" w:rsidR="007943A0" w:rsidRDefault="007943A0" w:rsidP="00472E06">
      <w:pPr>
        <w:widowControl w:val="0"/>
        <w:tabs>
          <w:tab w:val="left" w:pos="2268"/>
          <w:tab w:val="left" w:pos="6663"/>
        </w:tabs>
        <w:spacing w:after="0" w:line="240" w:lineRule="auto"/>
        <w:ind w:left="102" w:right="116" w:hanging="102"/>
        <w:jc w:val="center"/>
        <w:rPr>
          <w:rFonts w:eastAsia="Times New Roman"/>
          <w:color w:val="auto"/>
          <w:spacing w:val="-1"/>
          <w:kern w:val="16"/>
          <w:highlight w:val="yellow"/>
          <w:lang w:val="en-US" w:eastAsia="en-US"/>
        </w:rPr>
      </w:pPr>
      <w:r w:rsidRPr="007943A0">
        <w:rPr>
          <w:rFonts w:eastAsia="Times New Roman"/>
          <w:noProof/>
          <w:color w:val="auto"/>
          <w:spacing w:val="-1"/>
          <w:kern w:val="16"/>
        </w:rPr>
        <w:lastRenderedPageBreak/>
        <w:drawing>
          <wp:inline distT="0" distB="0" distL="0" distR="0" wp14:anchorId="0AC279AA" wp14:editId="4922F4D9">
            <wp:extent cx="2552400" cy="2402141"/>
            <wp:effectExtent l="19050" t="19050" r="19685" b="17780"/>
            <wp:docPr id="67" name="Resim 67" descr="C:\Users\beyza\Desktop\levent res\B4L 2. res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eyza\Desktop\levent res\B4L 2. resim.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52400" cy="2402141"/>
                    </a:xfrm>
                    <a:prstGeom prst="rect">
                      <a:avLst/>
                    </a:prstGeom>
                    <a:noFill/>
                    <a:ln w="25400">
                      <a:solidFill>
                        <a:sysClr val="window" lastClr="FFFFFF">
                          <a:lumMod val="50000"/>
                        </a:sysClr>
                      </a:solidFill>
                    </a:ln>
                  </pic:spPr>
                </pic:pic>
              </a:graphicData>
            </a:graphic>
          </wp:inline>
        </w:drawing>
      </w:r>
    </w:p>
    <w:p w14:paraId="17D8AEBC" w14:textId="77777777" w:rsidR="006B531D" w:rsidRDefault="006B531D" w:rsidP="00472E06">
      <w:pPr>
        <w:widowControl w:val="0"/>
        <w:tabs>
          <w:tab w:val="left" w:pos="2268"/>
          <w:tab w:val="left" w:pos="6379"/>
          <w:tab w:val="left" w:pos="6521"/>
        </w:tabs>
        <w:spacing w:after="0" w:line="240" w:lineRule="auto"/>
        <w:ind w:left="102" w:right="116" w:hanging="102"/>
        <w:jc w:val="center"/>
        <w:rPr>
          <w:rFonts w:eastAsia="Times New Roman"/>
          <w:color w:val="auto"/>
          <w:spacing w:val="-1"/>
          <w:kern w:val="16"/>
          <w:highlight w:val="yellow"/>
          <w:lang w:val="en-US" w:eastAsia="en-US"/>
        </w:rPr>
      </w:pPr>
    </w:p>
    <w:p w14:paraId="1D58207B" w14:textId="6ADCD832" w:rsidR="003B5847" w:rsidRDefault="00F7516F" w:rsidP="00FF3621">
      <w:pPr>
        <w:widowControl w:val="0"/>
        <w:tabs>
          <w:tab w:val="left" w:pos="2268"/>
        </w:tabs>
        <w:autoSpaceDE w:val="0"/>
        <w:autoSpaceDN w:val="0"/>
        <w:adjustRightInd w:val="0"/>
        <w:spacing w:after="0" w:line="240" w:lineRule="auto"/>
        <w:ind w:left="3403" w:right="2410" w:hanging="1418"/>
        <w:jc w:val="both"/>
        <w:rPr>
          <w:rFonts w:eastAsia="Calibri"/>
          <w:bCs/>
          <w:color w:val="auto"/>
          <w:lang w:val="en-US" w:eastAsia="en-US"/>
        </w:rPr>
      </w:pPr>
      <w:r>
        <w:rPr>
          <w:rFonts w:eastAsia="Calibri"/>
          <w:bCs/>
          <w:color w:val="auto"/>
          <w:lang w:val="en-US" w:eastAsia="en-US"/>
        </w:rPr>
        <w:t xml:space="preserve">    Şekil </w:t>
      </w:r>
      <w:r w:rsidR="006B531D" w:rsidRPr="00C425E6">
        <w:rPr>
          <w:rFonts w:eastAsia="Calibri"/>
          <w:bCs/>
          <w:color w:val="auto"/>
          <w:lang w:val="en-US" w:eastAsia="en-US"/>
        </w:rPr>
        <w:t>3.13.</w:t>
      </w:r>
      <w:r>
        <w:rPr>
          <w:rFonts w:eastAsia="Calibri"/>
          <w:bCs/>
          <w:color w:val="auto"/>
          <w:lang w:val="en-US" w:eastAsia="en-US"/>
        </w:rPr>
        <w:t xml:space="preserve"> </w:t>
      </w:r>
      <w:r w:rsidR="006B531D" w:rsidRPr="007943A0">
        <w:rPr>
          <w:rFonts w:eastAsia="Calibri"/>
          <w:bCs/>
          <w:color w:val="auto"/>
          <w:lang w:val="en-US" w:eastAsia="en-US"/>
        </w:rPr>
        <w:t>Disklere emdirilen maddelerin (A bileşiği etanol (1), B bileşiği etanol (2), A bileşiği</w:t>
      </w:r>
      <w:r w:rsidR="006B531D" w:rsidRPr="007943A0">
        <w:rPr>
          <w:rFonts w:ascii="Calibri" w:eastAsia="Calibri" w:hAnsi="Calibri"/>
          <w:color w:val="auto"/>
          <w:sz w:val="22"/>
          <w:szCs w:val="22"/>
          <w:lang w:val="en-US" w:eastAsia="en-US"/>
        </w:rPr>
        <w:t xml:space="preserve"> </w:t>
      </w:r>
      <w:r w:rsidR="006B531D" w:rsidRPr="007943A0">
        <w:rPr>
          <w:rFonts w:eastAsia="Calibri"/>
          <w:bCs/>
          <w:color w:val="auto"/>
          <w:lang w:val="en-US" w:eastAsia="en-US"/>
        </w:rPr>
        <w:t>DMSO (3)</w:t>
      </w:r>
      <w:r w:rsidR="006B531D" w:rsidRPr="007943A0">
        <w:rPr>
          <w:rFonts w:ascii="Calibri" w:eastAsia="Calibri" w:hAnsi="Calibri"/>
          <w:color w:val="auto"/>
          <w:sz w:val="22"/>
          <w:szCs w:val="22"/>
          <w:lang w:val="en-US" w:eastAsia="en-US"/>
        </w:rPr>
        <w:t xml:space="preserve"> </w:t>
      </w:r>
      <w:r w:rsidR="006B531D" w:rsidRPr="007943A0">
        <w:rPr>
          <w:rFonts w:eastAsia="Calibri"/>
          <w:bCs/>
          <w:color w:val="auto"/>
          <w:lang w:val="en-US" w:eastAsia="en-US"/>
        </w:rPr>
        <w:t>B bileşiği DMSO’da (4)</w:t>
      </w:r>
      <w:r w:rsidR="006B531D" w:rsidRPr="007943A0">
        <w:rPr>
          <w:rFonts w:ascii="Calibri" w:eastAsia="Calibri" w:hAnsi="Calibri"/>
          <w:color w:val="auto"/>
          <w:sz w:val="22"/>
          <w:szCs w:val="22"/>
          <w:lang w:val="en-US" w:eastAsia="en-US"/>
        </w:rPr>
        <w:t xml:space="preserve"> </w:t>
      </w:r>
      <w:r w:rsidR="006B531D" w:rsidRPr="007943A0">
        <w:rPr>
          <w:rFonts w:eastAsia="Calibri"/>
          <w:bCs/>
          <w:color w:val="auto"/>
          <w:lang w:val="en-US" w:eastAsia="en-US"/>
        </w:rPr>
        <w:t xml:space="preserve">çözülerek hazırlandı) </w:t>
      </w:r>
      <w:r w:rsidR="006B531D" w:rsidRPr="007943A0">
        <w:rPr>
          <w:rFonts w:eastAsia="Calibri"/>
          <w:bCs/>
          <w:i/>
          <w:color w:val="auto"/>
          <w:lang w:val="en-US" w:eastAsia="en-US"/>
        </w:rPr>
        <w:t>E. coli</w:t>
      </w:r>
      <w:r w:rsidR="006B11B9">
        <w:rPr>
          <w:rFonts w:eastAsia="Calibri"/>
          <w:bCs/>
          <w:color w:val="auto"/>
          <w:lang w:val="en-US" w:eastAsia="en-US"/>
        </w:rPr>
        <w:t xml:space="preserve"> 25922 suşu üzerinde </w:t>
      </w:r>
      <w:r w:rsidR="006B531D" w:rsidRPr="007943A0">
        <w:rPr>
          <w:rFonts w:eastAsia="Calibri"/>
          <w:bCs/>
          <w:color w:val="auto"/>
          <w:lang w:val="en-US" w:eastAsia="en-US"/>
        </w:rPr>
        <w:t>ol</w:t>
      </w:r>
      <w:r w:rsidR="006B531D">
        <w:rPr>
          <w:rFonts w:eastAsia="Calibri"/>
          <w:bCs/>
          <w:color w:val="auto"/>
          <w:lang w:val="en-US" w:eastAsia="en-US"/>
        </w:rPr>
        <w:t>uşturdukları inhibisyon zonları</w:t>
      </w:r>
    </w:p>
    <w:p w14:paraId="355EF82A" w14:textId="77777777" w:rsidR="00472E06" w:rsidRDefault="00472E06" w:rsidP="00472E06">
      <w:pPr>
        <w:widowControl w:val="0"/>
        <w:tabs>
          <w:tab w:val="left" w:pos="2268"/>
        </w:tabs>
        <w:autoSpaceDE w:val="0"/>
        <w:autoSpaceDN w:val="0"/>
        <w:adjustRightInd w:val="0"/>
        <w:spacing w:after="0" w:line="240" w:lineRule="auto"/>
        <w:ind w:left="3403" w:right="2410" w:hanging="1418"/>
        <w:jc w:val="both"/>
        <w:rPr>
          <w:rFonts w:eastAsia="Calibri"/>
          <w:bCs/>
          <w:color w:val="auto"/>
          <w:lang w:val="en-US" w:eastAsia="en-US"/>
        </w:rPr>
      </w:pPr>
    </w:p>
    <w:p w14:paraId="176342CB" w14:textId="77777777" w:rsidR="00472E06" w:rsidRDefault="00472E06" w:rsidP="00472E06">
      <w:pPr>
        <w:widowControl w:val="0"/>
        <w:tabs>
          <w:tab w:val="left" w:pos="2268"/>
        </w:tabs>
        <w:autoSpaceDE w:val="0"/>
        <w:autoSpaceDN w:val="0"/>
        <w:adjustRightInd w:val="0"/>
        <w:spacing w:after="0" w:line="240" w:lineRule="auto"/>
        <w:ind w:left="3403" w:right="2410" w:hanging="1418"/>
        <w:jc w:val="both"/>
        <w:rPr>
          <w:rFonts w:eastAsia="Calibri"/>
          <w:bCs/>
          <w:color w:val="auto"/>
          <w:lang w:val="en-US" w:eastAsia="en-US"/>
        </w:rPr>
      </w:pPr>
    </w:p>
    <w:p w14:paraId="4ABEA821" w14:textId="1671252B" w:rsidR="006B11B9" w:rsidRDefault="007943A0" w:rsidP="00472E06">
      <w:pPr>
        <w:widowControl w:val="0"/>
        <w:tabs>
          <w:tab w:val="left" w:pos="2268"/>
        </w:tabs>
        <w:spacing w:after="0" w:line="240" w:lineRule="auto"/>
        <w:ind w:left="102" w:right="116" w:hanging="102"/>
        <w:jc w:val="center"/>
        <w:rPr>
          <w:rFonts w:eastAsia="Times New Roman"/>
          <w:color w:val="auto"/>
          <w:spacing w:val="-1"/>
          <w:kern w:val="16"/>
          <w:highlight w:val="yellow"/>
          <w:lang w:val="en-US" w:eastAsia="en-US"/>
        </w:rPr>
      </w:pPr>
      <w:r w:rsidRPr="007943A0">
        <w:rPr>
          <w:rFonts w:eastAsia="Times New Roman"/>
          <w:noProof/>
          <w:color w:val="auto"/>
          <w:spacing w:val="-1"/>
          <w:kern w:val="16"/>
        </w:rPr>
        <w:drawing>
          <wp:inline distT="0" distB="0" distL="0" distR="0" wp14:anchorId="6DDF1E07" wp14:editId="59E2867D">
            <wp:extent cx="2552400" cy="2283971"/>
            <wp:effectExtent l="19050" t="19050" r="19685" b="21590"/>
            <wp:docPr id="68" name="Resim 68" descr="C:\Users\beyza\Desktop\levent res\B9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beyza\Desktop\levent res\B9L.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52400" cy="2283971"/>
                    </a:xfrm>
                    <a:prstGeom prst="rect">
                      <a:avLst/>
                    </a:prstGeom>
                    <a:noFill/>
                    <a:ln w="25400">
                      <a:solidFill>
                        <a:sysClr val="window" lastClr="FFFFFF">
                          <a:lumMod val="50000"/>
                        </a:sysClr>
                      </a:solidFill>
                    </a:ln>
                  </pic:spPr>
                </pic:pic>
              </a:graphicData>
            </a:graphic>
          </wp:inline>
        </w:drawing>
      </w:r>
    </w:p>
    <w:p w14:paraId="0DAB8FE2" w14:textId="77777777" w:rsidR="003B5847" w:rsidRDefault="003B5847" w:rsidP="003B5847">
      <w:pPr>
        <w:widowControl w:val="0"/>
        <w:tabs>
          <w:tab w:val="left" w:pos="2268"/>
        </w:tabs>
        <w:spacing w:after="0" w:line="240" w:lineRule="auto"/>
        <w:ind w:left="102" w:right="116" w:hanging="102"/>
        <w:jc w:val="center"/>
        <w:rPr>
          <w:rFonts w:eastAsia="Times New Roman"/>
          <w:color w:val="auto"/>
          <w:spacing w:val="-1"/>
          <w:kern w:val="16"/>
          <w:highlight w:val="yellow"/>
          <w:lang w:val="en-US" w:eastAsia="en-US"/>
        </w:rPr>
      </w:pPr>
    </w:p>
    <w:p w14:paraId="09BB797E" w14:textId="56062FED" w:rsidR="003B5847" w:rsidRPr="007943A0" w:rsidRDefault="003B5847" w:rsidP="00FF3621">
      <w:pPr>
        <w:widowControl w:val="0"/>
        <w:tabs>
          <w:tab w:val="left" w:pos="2268"/>
          <w:tab w:val="left" w:pos="6379"/>
        </w:tabs>
        <w:spacing w:after="0" w:line="240" w:lineRule="auto"/>
        <w:ind w:left="3374" w:right="2410" w:hanging="3374"/>
        <w:jc w:val="both"/>
        <w:rPr>
          <w:rFonts w:eastAsia="Times New Roman"/>
          <w:color w:val="auto"/>
          <w:spacing w:val="-1"/>
          <w:kern w:val="16"/>
          <w:highlight w:val="yellow"/>
          <w:lang w:val="en-US" w:eastAsia="en-US"/>
        </w:rPr>
      </w:pPr>
      <w:r>
        <w:rPr>
          <w:rFonts w:eastAsia="Calibri"/>
          <w:bCs/>
          <w:color w:val="auto"/>
          <w:lang w:val="en-US" w:eastAsia="en-US"/>
        </w:rPr>
        <w:t xml:space="preserve">     </w:t>
      </w:r>
      <w:r w:rsidR="00F7516F">
        <w:rPr>
          <w:rFonts w:eastAsia="Calibri"/>
          <w:bCs/>
          <w:color w:val="auto"/>
          <w:lang w:val="en-US" w:eastAsia="en-US"/>
        </w:rPr>
        <w:t xml:space="preserve">                            </w:t>
      </w:r>
      <w:r w:rsidR="00ED6F97">
        <w:rPr>
          <w:rFonts w:eastAsia="Calibri"/>
          <w:bCs/>
          <w:color w:val="auto"/>
          <w:lang w:val="en-US" w:eastAsia="en-US"/>
        </w:rPr>
        <w:t xml:space="preserve">    </w:t>
      </w:r>
      <w:r w:rsidRPr="00C425E6">
        <w:rPr>
          <w:rFonts w:eastAsia="Calibri"/>
          <w:bCs/>
          <w:color w:val="auto"/>
          <w:lang w:val="en-US" w:eastAsia="en-US"/>
        </w:rPr>
        <w:t>Şekil 3.14.</w:t>
      </w:r>
      <w:r w:rsidRPr="007943A0">
        <w:rPr>
          <w:rFonts w:eastAsia="Calibri"/>
          <w:bCs/>
          <w:color w:val="auto"/>
          <w:lang w:val="en-US" w:eastAsia="en-US"/>
        </w:rPr>
        <w:t xml:space="preserve"> Disklere emdirilen maddelerin (A bileşiği etanol (1), B bileşiği etanol (2), A bileşiği</w:t>
      </w:r>
      <w:r w:rsidRPr="007943A0">
        <w:rPr>
          <w:rFonts w:ascii="Calibri" w:eastAsia="Calibri" w:hAnsi="Calibri"/>
          <w:color w:val="auto"/>
          <w:sz w:val="22"/>
          <w:szCs w:val="22"/>
          <w:lang w:val="en-US" w:eastAsia="en-US"/>
        </w:rPr>
        <w:t xml:space="preserve"> </w:t>
      </w:r>
      <w:r w:rsidRPr="007943A0">
        <w:rPr>
          <w:rFonts w:eastAsia="Calibri"/>
          <w:bCs/>
          <w:color w:val="auto"/>
          <w:lang w:val="en-US" w:eastAsia="en-US"/>
        </w:rPr>
        <w:t>DMSO (3)</w:t>
      </w:r>
      <w:r w:rsidRPr="007943A0">
        <w:rPr>
          <w:rFonts w:ascii="Calibri" w:eastAsia="Calibri" w:hAnsi="Calibri"/>
          <w:color w:val="auto"/>
          <w:sz w:val="22"/>
          <w:szCs w:val="22"/>
          <w:lang w:val="en-US" w:eastAsia="en-US"/>
        </w:rPr>
        <w:t xml:space="preserve"> </w:t>
      </w:r>
      <w:r w:rsidRPr="007943A0">
        <w:rPr>
          <w:rFonts w:eastAsia="Calibri"/>
          <w:bCs/>
          <w:color w:val="auto"/>
          <w:lang w:val="en-US" w:eastAsia="en-US"/>
        </w:rPr>
        <w:t>B bileşiği DMSO’da (4)</w:t>
      </w:r>
      <w:r w:rsidRPr="007943A0">
        <w:rPr>
          <w:rFonts w:ascii="Calibri" w:eastAsia="Calibri" w:hAnsi="Calibri"/>
          <w:color w:val="auto"/>
          <w:sz w:val="22"/>
          <w:szCs w:val="22"/>
          <w:lang w:val="en-US" w:eastAsia="en-US"/>
        </w:rPr>
        <w:t xml:space="preserve"> </w:t>
      </w:r>
      <w:r>
        <w:rPr>
          <w:rFonts w:eastAsia="Calibri"/>
          <w:bCs/>
          <w:color w:val="auto"/>
          <w:lang w:val="en-US" w:eastAsia="en-US"/>
        </w:rPr>
        <w:t xml:space="preserve">çözülerek hazırlandı) </w:t>
      </w:r>
      <w:r w:rsidRPr="007943A0">
        <w:rPr>
          <w:rFonts w:eastAsia="Calibri"/>
          <w:bCs/>
          <w:i/>
          <w:color w:val="auto"/>
          <w:lang w:val="en-US" w:eastAsia="en-US"/>
        </w:rPr>
        <w:t>Klebsiella pnemoniae</w:t>
      </w:r>
      <w:r>
        <w:rPr>
          <w:rFonts w:eastAsia="Calibri"/>
          <w:bCs/>
          <w:color w:val="auto"/>
          <w:lang w:val="en-US" w:eastAsia="en-US"/>
        </w:rPr>
        <w:t xml:space="preserve"> üzerinde oluşturdukları </w:t>
      </w:r>
      <w:r w:rsidRPr="007943A0">
        <w:rPr>
          <w:rFonts w:eastAsia="Calibri"/>
          <w:bCs/>
          <w:color w:val="auto"/>
          <w:lang w:val="en-US" w:eastAsia="en-US"/>
        </w:rPr>
        <w:t>inhibisyon zonları</w:t>
      </w:r>
    </w:p>
    <w:p w14:paraId="6A7AB75E" w14:textId="77777777" w:rsidR="007943A0" w:rsidRPr="007943A0" w:rsidRDefault="007943A0" w:rsidP="007943A0">
      <w:pPr>
        <w:widowControl w:val="0"/>
        <w:spacing w:after="0" w:line="240" w:lineRule="auto"/>
        <w:ind w:left="102" w:right="116" w:hanging="102"/>
        <w:jc w:val="center"/>
        <w:rPr>
          <w:rFonts w:eastAsia="Times New Roman"/>
          <w:color w:val="auto"/>
          <w:spacing w:val="-1"/>
          <w:kern w:val="16"/>
          <w:sz w:val="6"/>
          <w:highlight w:val="yellow"/>
          <w:lang w:val="en-US" w:eastAsia="en-US"/>
        </w:rPr>
      </w:pPr>
    </w:p>
    <w:p w14:paraId="4CEED648" w14:textId="7BC81A59" w:rsidR="007943A0" w:rsidRDefault="007943A0" w:rsidP="00472E06">
      <w:pPr>
        <w:widowControl w:val="0"/>
        <w:tabs>
          <w:tab w:val="left" w:pos="2268"/>
          <w:tab w:val="left" w:pos="6379"/>
        </w:tabs>
        <w:spacing w:after="0" w:line="240" w:lineRule="auto"/>
        <w:ind w:left="102" w:right="116" w:hanging="102"/>
        <w:jc w:val="center"/>
        <w:rPr>
          <w:rFonts w:eastAsia="Times New Roman"/>
          <w:b/>
          <w:noProof/>
          <w:color w:val="auto"/>
          <w:kern w:val="16"/>
        </w:rPr>
      </w:pPr>
      <w:r w:rsidRPr="007943A0">
        <w:rPr>
          <w:rFonts w:eastAsia="Times New Roman"/>
          <w:b/>
          <w:i/>
          <w:noProof/>
          <w:color w:val="auto"/>
          <w:kern w:val="16"/>
        </w:rPr>
        <w:drawing>
          <wp:inline distT="0" distB="0" distL="0" distR="0" wp14:anchorId="64C4F6AE" wp14:editId="6069FCBF">
            <wp:extent cx="2552700" cy="2425700"/>
            <wp:effectExtent l="19050" t="19050" r="19050" b="12700"/>
            <wp:docPr id="69" name="Resim 69" descr="C:\Users\beyza\Desktop\levent res\B2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eyza\Desktop\levent res\B2L.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61719" cy="2434270"/>
                    </a:xfrm>
                    <a:prstGeom prst="rect">
                      <a:avLst/>
                    </a:prstGeom>
                    <a:noFill/>
                    <a:ln w="25400">
                      <a:solidFill>
                        <a:sysClr val="window" lastClr="FFFFFF">
                          <a:lumMod val="50000"/>
                        </a:sysClr>
                      </a:solidFill>
                    </a:ln>
                  </pic:spPr>
                </pic:pic>
              </a:graphicData>
            </a:graphic>
          </wp:inline>
        </w:drawing>
      </w:r>
    </w:p>
    <w:p w14:paraId="6EA348DF" w14:textId="77777777" w:rsidR="00ED6F97" w:rsidRDefault="00ED6F97" w:rsidP="007943A0">
      <w:pPr>
        <w:widowControl w:val="0"/>
        <w:spacing w:after="0" w:line="240" w:lineRule="auto"/>
        <w:ind w:left="102" w:right="116" w:hanging="102"/>
        <w:jc w:val="center"/>
        <w:rPr>
          <w:rFonts w:eastAsia="Times New Roman"/>
          <w:b/>
          <w:noProof/>
          <w:color w:val="auto"/>
          <w:kern w:val="16"/>
        </w:rPr>
      </w:pPr>
    </w:p>
    <w:p w14:paraId="3DA3636D" w14:textId="270B0B4F" w:rsidR="00B75BED" w:rsidRDefault="00ED6F97" w:rsidP="006A53A9">
      <w:pPr>
        <w:widowControl w:val="0"/>
        <w:tabs>
          <w:tab w:val="left" w:pos="2268"/>
        </w:tabs>
        <w:autoSpaceDE w:val="0"/>
        <w:autoSpaceDN w:val="0"/>
        <w:adjustRightInd w:val="0"/>
        <w:spacing w:after="0" w:line="240" w:lineRule="auto"/>
        <w:ind w:left="3430" w:right="2410" w:hanging="3430"/>
        <w:jc w:val="both"/>
        <w:rPr>
          <w:rFonts w:eastAsia="Calibri"/>
          <w:bCs/>
          <w:color w:val="auto"/>
          <w:lang w:val="en-US" w:eastAsia="en-US"/>
        </w:rPr>
      </w:pPr>
      <w:r>
        <w:rPr>
          <w:rFonts w:eastAsia="Calibri"/>
          <w:bCs/>
          <w:color w:val="auto"/>
          <w:lang w:val="en-US" w:eastAsia="en-US"/>
        </w:rPr>
        <w:t xml:space="preserve">                                      </w:t>
      </w:r>
      <w:r w:rsidRPr="00C425E6">
        <w:rPr>
          <w:rFonts w:eastAsia="Calibri"/>
          <w:bCs/>
          <w:color w:val="auto"/>
          <w:lang w:val="en-US" w:eastAsia="en-US"/>
        </w:rPr>
        <w:t>Şekil 3.15.</w:t>
      </w:r>
      <w:r w:rsidRPr="007943A0">
        <w:rPr>
          <w:rFonts w:eastAsia="Calibri"/>
          <w:bCs/>
          <w:color w:val="auto"/>
          <w:lang w:val="en-US" w:eastAsia="en-US"/>
        </w:rPr>
        <w:t xml:space="preserve"> Disklere emdirilen maddelerin (A bileşiği etanol (1), B bileşiği etanol (2), A bileşiği DMSO (3) B bileşiği DMSO’da (4)</w:t>
      </w:r>
      <w:r w:rsidRPr="007943A0">
        <w:rPr>
          <w:rFonts w:ascii="Calibri" w:eastAsia="Calibri" w:hAnsi="Calibri"/>
          <w:color w:val="auto"/>
          <w:sz w:val="22"/>
          <w:szCs w:val="22"/>
          <w:lang w:val="en-US" w:eastAsia="en-US"/>
        </w:rPr>
        <w:t xml:space="preserve"> </w:t>
      </w:r>
      <w:r w:rsidRPr="007943A0">
        <w:rPr>
          <w:rFonts w:eastAsia="Calibri"/>
          <w:bCs/>
          <w:color w:val="auto"/>
          <w:lang w:val="en-US" w:eastAsia="en-US"/>
        </w:rPr>
        <w:t xml:space="preserve">çözülerek hazırlandı) </w:t>
      </w:r>
      <w:r w:rsidRPr="007943A0">
        <w:rPr>
          <w:rFonts w:eastAsia="Calibri"/>
          <w:bCs/>
          <w:i/>
          <w:color w:val="auto"/>
          <w:lang w:val="en-US" w:eastAsia="en-US"/>
        </w:rPr>
        <w:t>E. faecalis</w:t>
      </w:r>
      <w:r w:rsidRPr="007943A0">
        <w:rPr>
          <w:rFonts w:eastAsia="Calibri"/>
          <w:bCs/>
          <w:color w:val="auto"/>
          <w:lang w:val="en-US" w:eastAsia="en-US"/>
        </w:rPr>
        <w:t xml:space="preserve"> üzerinde ol</w:t>
      </w:r>
      <w:r>
        <w:rPr>
          <w:rFonts w:eastAsia="Calibri"/>
          <w:bCs/>
          <w:color w:val="auto"/>
          <w:lang w:val="en-US" w:eastAsia="en-US"/>
        </w:rPr>
        <w:t>uşturdukları inhibisyon zonları</w:t>
      </w:r>
    </w:p>
    <w:p w14:paraId="6DBDA5DF" w14:textId="77777777" w:rsidR="006B17A0" w:rsidRDefault="006B17A0" w:rsidP="006B17A0">
      <w:pPr>
        <w:widowControl w:val="0"/>
        <w:tabs>
          <w:tab w:val="left" w:pos="2268"/>
        </w:tabs>
        <w:autoSpaceDE w:val="0"/>
        <w:autoSpaceDN w:val="0"/>
        <w:adjustRightInd w:val="0"/>
        <w:spacing w:after="0" w:line="240" w:lineRule="auto"/>
        <w:ind w:left="3402" w:right="2410" w:hanging="3402"/>
        <w:jc w:val="both"/>
        <w:rPr>
          <w:rFonts w:eastAsia="Calibri"/>
          <w:bCs/>
          <w:color w:val="auto"/>
          <w:lang w:val="en-US" w:eastAsia="en-US"/>
        </w:rPr>
      </w:pPr>
    </w:p>
    <w:p w14:paraId="1F91437D" w14:textId="77777777" w:rsidR="006B17A0" w:rsidRDefault="006B17A0" w:rsidP="006B17A0">
      <w:pPr>
        <w:widowControl w:val="0"/>
        <w:tabs>
          <w:tab w:val="left" w:pos="2268"/>
        </w:tabs>
        <w:autoSpaceDE w:val="0"/>
        <w:autoSpaceDN w:val="0"/>
        <w:adjustRightInd w:val="0"/>
        <w:spacing w:after="0" w:line="240" w:lineRule="auto"/>
        <w:ind w:left="3402" w:right="2410" w:hanging="3402"/>
        <w:jc w:val="both"/>
        <w:rPr>
          <w:rFonts w:eastAsia="Calibri"/>
          <w:bCs/>
          <w:color w:val="auto"/>
          <w:lang w:val="en-US" w:eastAsia="en-US"/>
        </w:rPr>
      </w:pPr>
    </w:p>
    <w:p w14:paraId="67246CCA" w14:textId="343F60CE" w:rsidR="00484D9A" w:rsidRDefault="007943A0" w:rsidP="00FF3621">
      <w:pPr>
        <w:widowControl w:val="0"/>
        <w:tabs>
          <w:tab w:val="left" w:pos="2268"/>
          <w:tab w:val="left" w:pos="6379"/>
        </w:tabs>
        <w:spacing w:after="0" w:line="240" w:lineRule="auto"/>
        <w:ind w:left="102" w:right="116" w:hanging="102"/>
        <w:jc w:val="center"/>
        <w:rPr>
          <w:rFonts w:eastAsia="Times New Roman"/>
          <w:color w:val="auto"/>
          <w:spacing w:val="-1"/>
          <w:kern w:val="16"/>
          <w:highlight w:val="yellow"/>
          <w:lang w:val="en-US" w:eastAsia="en-US"/>
        </w:rPr>
      </w:pPr>
      <w:r w:rsidRPr="007943A0">
        <w:rPr>
          <w:rFonts w:eastAsia="Times New Roman"/>
          <w:noProof/>
          <w:color w:val="auto"/>
          <w:spacing w:val="-1"/>
          <w:kern w:val="16"/>
        </w:rPr>
        <w:drawing>
          <wp:inline distT="0" distB="0" distL="0" distR="0" wp14:anchorId="550AFC35" wp14:editId="6DD444D6">
            <wp:extent cx="2552400" cy="2344102"/>
            <wp:effectExtent l="19050" t="19050" r="19685" b="18415"/>
            <wp:docPr id="70" name="Resim 70" descr="C:\Users\beyza\Desktop\levent res\B5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eyza\Desktop\levent res\B5L.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52400" cy="2344102"/>
                    </a:xfrm>
                    <a:prstGeom prst="rect">
                      <a:avLst/>
                    </a:prstGeom>
                    <a:noFill/>
                    <a:ln w="25400">
                      <a:solidFill>
                        <a:sysClr val="window" lastClr="FFFFFF">
                          <a:lumMod val="50000"/>
                        </a:sysClr>
                      </a:solidFill>
                    </a:ln>
                  </pic:spPr>
                </pic:pic>
              </a:graphicData>
            </a:graphic>
          </wp:inline>
        </w:drawing>
      </w:r>
    </w:p>
    <w:p w14:paraId="7E719F91" w14:textId="77777777" w:rsidR="00484D9A" w:rsidRDefault="00484D9A" w:rsidP="00484D9A">
      <w:pPr>
        <w:widowControl w:val="0"/>
        <w:tabs>
          <w:tab w:val="left" w:pos="2268"/>
          <w:tab w:val="left" w:pos="6379"/>
        </w:tabs>
        <w:spacing w:after="0" w:line="240" w:lineRule="auto"/>
        <w:ind w:left="102" w:right="116" w:hanging="102"/>
        <w:jc w:val="center"/>
        <w:rPr>
          <w:rFonts w:eastAsia="Times New Roman"/>
          <w:color w:val="auto"/>
          <w:spacing w:val="-1"/>
          <w:kern w:val="16"/>
          <w:highlight w:val="yellow"/>
          <w:lang w:val="en-US" w:eastAsia="en-US"/>
        </w:rPr>
      </w:pPr>
    </w:p>
    <w:p w14:paraId="68036A9F" w14:textId="029F4C37" w:rsidR="00484D9A" w:rsidRPr="00B75BED" w:rsidRDefault="00484D9A" w:rsidP="00FF3621">
      <w:pPr>
        <w:widowControl w:val="0"/>
        <w:tabs>
          <w:tab w:val="left" w:pos="2268"/>
        </w:tabs>
        <w:autoSpaceDE w:val="0"/>
        <w:autoSpaceDN w:val="0"/>
        <w:adjustRightInd w:val="0"/>
        <w:spacing w:after="0" w:line="240" w:lineRule="auto"/>
        <w:ind w:left="3430" w:right="2410" w:hanging="3430"/>
        <w:jc w:val="both"/>
        <w:rPr>
          <w:rFonts w:eastAsia="Calibri"/>
          <w:bCs/>
          <w:color w:val="auto"/>
          <w:lang w:val="en-US" w:eastAsia="en-US"/>
        </w:rPr>
      </w:pPr>
      <w:r>
        <w:rPr>
          <w:rFonts w:eastAsia="Calibri"/>
          <w:bCs/>
          <w:color w:val="auto"/>
          <w:lang w:val="en-US" w:eastAsia="en-US"/>
        </w:rPr>
        <w:t xml:space="preserve">                                      </w:t>
      </w:r>
      <w:r w:rsidRPr="00C425E6">
        <w:rPr>
          <w:rFonts w:eastAsia="Calibri"/>
          <w:bCs/>
          <w:color w:val="auto"/>
          <w:lang w:val="en-US" w:eastAsia="en-US"/>
        </w:rPr>
        <w:t>Şekil 3.16.</w:t>
      </w:r>
      <w:r w:rsidRPr="007943A0">
        <w:rPr>
          <w:rFonts w:eastAsia="Calibri"/>
          <w:bCs/>
          <w:color w:val="auto"/>
          <w:lang w:val="en-US" w:eastAsia="en-US"/>
        </w:rPr>
        <w:t xml:space="preserve"> Disklere emdirilen maddelerin (A bileşiği etanol (1), B bileşiği etanol (2), A bileşiği DMSO (3) B bileşiği DMSO’da (4) çözülerek hazırlandı) </w:t>
      </w:r>
      <w:r w:rsidRPr="007943A0">
        <w:rPr>
          <w:rFonts w:eastAsia="Calibri"/>
          <w:bCs/>
          <w:i/>
          <w:color w:val="auto"/>
          <w:lang w:val="en-US" w:eastAsia="en-US"/>
        </w:rPr>
        <w:t>P.aerugınosa</w:t>
      </w:r>
      <w:r w:rsidRPr="007943A0">
        <w:rPr>
          <w:rFonts w:eastAsia="Calibri"/>
          <w:bCs/>
          <w:color w:val="auto"/>
          <w:lang w:val="en-US" w:eastAsia="en-US"/>
        </w:rPr>
        <w:t xml:space="preserve"> üzerinde oluşturdukları inhibisyon zonları</w:t>
      </w:r>
    </w:p>
    <w:p w14:paraId="48871A61" w14:textId="77777777" w:rsidR="007943A0" w:rsidRDefault="007943A0" w:rsidP="007943A0">
      <w:pPr>
        <w:widowControl w:val="0"/>
        <w:spacing w:after="0" w:line="240" w:lineRule="auto"/>
        <w:ind w:left="102" w:right="116" w:hanging="102"/>
        <w:jc w:val="center"/>
        <w:rPr>
          <w:rFonts w:eastAsia="Times New Roman"/>
          <w:color w:val="auto"/>
          <w:spacing w:val="-1"/>
          <w:kern w:val="16"/>
          <w:highlight w:val="yellow"/>
          <w:lang w:val="en-US" w:eastAsia="en-US"/>
        </w:rPr>
      </w:pPr>
      <w:r w:rsidRPr="007943A0">
        <w:rPr>
          <w:rFonts w:eastAsia="Times New Roman"/>
          <w:noProof/>
          <w:color w:val="auto"/>
          <w:spacing w:val="-1"/>
          <w:kern w:val="16"/>
        </w:rPr>
        <w:lastRenderedPageBreak/>
        <w:drawing>
          <wp:inline distT="0" distB="0" distL="0" distR="0" wp14:anchorId="6FF5A829" wp14:editId="51C693FF">
            <wp:extent cx="2551104" cy="2494122"/>
            <wp:effectExtent l="19050" t="19050" r="20955" b="20955"/>
            <wp:docPr id="71" name="Resim 71" descr="C:\Users\beyza\Desktop\levent res\B8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eyza\Desktop\levent res\B8L.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54900" cy="2497833"/>
                    </a:xfrm>
                    <a:prstGeom prst="rect">
                      <a:avLst/>
                    </a:prstGeom>
                    <a:noFill/>
                    <a:ln w="25400">
                      <a:solidFill>
                        <a:sysClr val="window" lastClr="FFFFFF">
                          <a:lumMod val="50000"/>
                        </a:sysClr>
                      </a:solidFill>
                    </a:ln>
                  </pic:spPr>
                </pic:pic>
              </a:graphicData>
            </a:graphic>
          </wp:inline>
        </w:drawing>
      </w:r>
    </w:p>
    <w:p w14:paraId="3E271FFC" w14:textId="77777777" w:rsidR="00B75BED" w:rsidRDefault="00B75BED" w:rsidP="007943A0">
      <w:pPr>
        <w:widowControl w:val="0"/>
        <w:spacing w:after="0" w:line="240" w:lineRule="auto"/>
        <w:ind w:left="102" w:right="116" w:hanging="102"/>
        <w:jc w:val="center"/>
        <w:rPr>
          <w:rFonts w:eastAsia="Times New Roman"/>
          <w:color w:val="auto"/>
          <w:spacing w:val="-1"/>
          <w:kern w:val="16"/>
          <w:highlight w:val="yellow"/>
          <w:lang w:val="en-US" w:eastAsia="en-US"/>
        </w:rPr>
      </w:pPr>
    </w:p>
    <w:p w14:paraId="4ED23E20" w14:textId="22D6E668" w:rsidR="00B75BED" w:rsidRDefault="00B75BED" w:rsidP="006A53A9">
      <w:pPr>
        <w:widowControl w:val="0"/>
        <w:spacing w:after="0" w:line="240" w:lineRule="auto"/>
        <w:ind w:left="3419" w:right="2410" w:hanging="1151"/>
        <w:jc w:val="both"/>
        <w:rPr>
          <w:rFonts w:eastAsia="Calibri"/>
          <w:bCs/>
          <w:color w:val="auto"/>
          <w:lang w:val="en-US" w:eastAsia="en-US"/>
        </w:rPr>
      </w:pPr>
      <w:r w:rsidRPr="00C425E6">
        <w:rPr>
          <w:rFonts w:eastAsia="Calibri"/>
          <w:bCs/>
          <w:color w:val="auto"/>
          <w:lang w:val="en-US" w:eastAsia="en-US"/>
        </w:rPr>
        <w:t>Şekil 3.17</w:t>
      </w:r>
      <w:r w:rsidRPr="00C425E6">
        <w:rPr>
          <w:rFonts w:eastAsia="Calibri"/>
          <w:b/>
          <w:bCs/>
          <w:color w:val="auto"/>
          <w:lang w:val="en-US" w:eastAsia="en-US"/>
        </w:rPr>
        <w:t>.</w:t>
      </w:r>
      <w:r w:rsidRPr="007943A0">
        <w:rPr>
          <w:rFonts w:eastAsia="Calibri"/>
          <w:bCs/>
          <w:color w:val="auto"/>
          <w:lang w:val="en-US" w:eastAsia="en-US"/>
        </w:rPr>
        <w:t xml:space="preserve"> Disklere emdirilen maddelerin (A bileşiği etanol (1), B bileşiği etanol (2), A bileşiği DMSO (3) B bileşiği DMS</w:t>
      </w:r>
      <w:r>
        <w:rPr>
          <w:rFonts w:eastAsia="Calibri"/>
          <w:bCs/>
          <w:color w:val="auto"/>
          <w:lang w:val="en-US" w:eastAsia="en-US"/>
        </w:rPr>
        <w:t xml:space="preserve">O’da (4) çözülerek hazırlandı) </w:t>
      </w:r>
      <w:r w:rsidRPr="007943A0">
        <w:rPr>
          <w:rFonts w:eastAsia="Calibri"/>
          <w:bCs/>
          <w:i/>
          <w:color w:val="auto"/>
          <w:lang w:val="en-US" w:eastAsia="en-US"/>
        </w:rPr>
        <w:t>P. putida</w:t>
      </w:r>
      <w:r w:rsidRPr="007943A0">
        <w:rPr>
          <w:rFonts w:eastAsia="Calibri"/>
          <w:bCs/>
          <w:color w:val="auto"/>
          <w:lang w:val="en-US" w:eastAsia="en-US"/>
        </w:rPr>
        <w:t xml:space="preserve"> üzerinde oluşturdukları inhibisyon zonları</w:t>
      </w:r>
    </w:p>
    <w:p w14:paraId="2951EF03" w14:textId="77777777" w:rsidR="006B17A0" w:rsidRDefault="006B17A0" w:rsidP="006B17A0">
      <w:pPr>
        <w:widowControl w:val="0"/>
        <w:spacing w:after="0" w:line="240" w:lineRule="auto"/>
        <w:ind w:left="3402" w:right="2412" w:hanging="1134"/>
        <w:jc w:val="both"/>
        <w:rPr>
          <w:rFonts w:eastAsia="Calibri"/>
          <w:bCs/>
          <w:color w:val="auto"/>
          <w:lang w:val="en-US" w:eastAsia="en-US"/>
        </w:rPr>
      </w:pPr>
    </w:p>
    <w:p w14:paraId="474B07A7" w14:textId="77777777" w:rsidR="006B17A0" w:rsidRPr="006B17A0" w:rsidRDefault="006B17A0" w:rsidP="006B17A0">
      <w:pPr>
        <w:widowControl w:val="0"/>
        <w:spacing w:after="0" w:line="240" w:lineRule="auto"/>
        <w:ind w:left="3402" w:right="2412" w:hanging="1134"/>
        <w:jc w:val="both"/>
        <w:rPr>
          <w:rFonts w:eastAsia="Calibri"/>
          <w:bCs/>
          <w:color w:val="auto"/>
          <w:lang w:val="en-US" w:eastAsia="en-US"/>
        </w:rPr>
      </w:pPr>
    </w:p>
    <w:p w14:paraId="4788BBEF" w14:textId="77777777" w:rsidR="00B75BED" w:rsidRDefault="00B75BED" w:rsidP="0015234E">
      <w:pPr>
        <w:widowControl w:val="0"/>
        <w:autoSpaceDE w:val="0"/>
        <w:autoSpaceDN w:val="0"/>
        <w:adjustRightInd w:val="0"/>
        <w:spacing w:after="0" w:line="360" w:lineRule="auto"/>
        <w:ind w:firstLine="709"/>
        <w:jc w:val="both"/>
        <w:rPr>
          <w:rFonts w:eastAsia="Times New Roman"/>
          <w:color w:val="auto"/>
          <w:spacing w:val="-1"/>
          <w:kern w:val="16"/>
          <w:sz w:val="6"/>
          <w:lang w:val="en-US" w:eastAsia="en-US"/>
        </w:rPr>
      </w:pPr>
    </w:p>
    <w:p w14:paraId="6F88867A" w14:textId="77777777" w:rsidR="00784236" w:rsidRDefault="00A45DC3" w:rsidP="0015234E">
      <w:pPr>
        <w:widowControl w:val="0"/>
        <w:autoSpaceDE w:val="0"/>
        <w:autoSpaceDN w:val="0"/>
        <w:adjustRightInd w:val="0"/>
        <w:spacing w:after="0" w:line="360" w:lineRule="auto"/>
        <w:ind w:firstLine="709"/>
        <w:jc w:val="both"/>
        <w:rPr>
          <w:rFonts w:eastAsia="Times New Roman"/>
          <w:color w:val="auto"/>
          <w:lang w:val="en-US"/>
        </w:rPr>
        <w:sectPr w:rsidR="00784236" w:rsidSect="007943A0">
          <w:pgSz w:w="11910" w:h="16840"/>
          <w:pgMar w:top="1701" w:right="1418" w:bottom="1418" w:left="1701" w:header="0" w:footer="567" w:gutter="0"/>
          <w:cols w:space="708"/>
          <w:titlePg/>
          <w:docGrid w:linePitch="299"/>
        </w:sectPr>
      </w:pPr>
      <w:r>
        <w:rPr>
          <w:rFonts w:eastAsia="Calibri"/>
          <w:bCs/>
          <w:color w:val="auto"/>
          <w:lang w:val="en-US" w:eastAsia="en-US"/>
        </w:rPr>
        <w:t>Yukarıdaki</w:t>
      </w:r>
      <w:r w:rsidR="00F60BF1" w:rsidRPr="007943A0">
        <w:rPr>
          <w:rFonts w:eastAsia="Calibri"/>
          <w:bCs/>
          <w:color w:val="auto"/>
          <w:lang w:val="en-US" w:eastAsia="en-US"/>
        </w:rPr>
        <w:t xml:space="preserve"> bileşikler A ve B olarak adlandırılmıştır </w:t>
      </w:r>
      <w:r w:rsidR="00F60BF1" w:rsidRPr="007943A0">
        <w:rPr>
          <w:rFonts w:eastAsia="Times New Roman"/>
          <w:b/>
          <w:color w:val="auto"/>
          <w:lang w:val="en-US"/>
        </w:rPr>
        <w:t>A:</w:t>
      </w:r>
      <w:r w:rsidR="00F60BF1" w:rsidRPr="007943A0">
        <w:rPr>
          <w:rFonts w:eastAsia="Times New Roman"/>
          <w:color w:val="auto"/>
          <w:lang w:val="en-US"/>
        </w:rPr>
        <w:t xml:space="preserve"> (1-etil-4-hidroksi-4-fenil piperidin-3-il)(fenil)metanon</w:t>
      </w:r>
      <w:r w:rsidR="00F60BF1" w:rsidRPr="007943A0">
        <w:rPr>
          <w:rFonts w:eastAsia="Calibri"/>
          <w:bCs/>
          <w:color w:val="auto"/>
          <w:lang w:val="en-US" w:eastAsia="en-US"/>
        </w:rPr>
        <w:t xml:space="preserve"> </w:t>
      </w:r>
      <w:r w:rsidR="00F60BF1" w:rsidRPr="007943A0">
        <w:rPr>
          <w:rFonts w:eastAsia="Times New Roman"/>
          <w:b/>
          <w:color w:val="auto"/>
          <w:lang w:val="en-US"/>
        </w:rPr>
        <w:t>B:</w:t>
      </w:r>
      <w:r w:rsidR="00F60BF1" w:rsidRPr="007943A0">
        <w:rPr>
          <w:rFonts w:ascii="Calibri" w:eastAsia="Calibri" w:hAnsi="Calibri"/>
          <w:color w:val="auto"/>
          <w:sz w:val="22"/>
          <w:szCs w:val="22"/>
          <w:lang w:val="en-US" w:eastAsia="en-US"/>
        </w:rPr>
        <w:t xml:space="preserve"> </w:t>
      </w:r>
      <w:r w:rsidR="00F60BF1" w:rsidRPr="007943A0">
        <w:rPr>
          <w:rFonts w:eastAsia="Times New Roman"/>
          <w:color w:val="auto"/>
          <w:lang w:val="en-US"/>
        </w:rPr>
        <w:t>(1-metil-4-hidroksi-4-fenil piperidin-3-il)(fenil)metanon</w:t>
      </w:r>
    </w:p>
    <w:p w14:paraId="18BA3461" w14:textId="77777777" w:rsidR="003C0839" w:rsidRDefault="003C0839" w:rsidP="00EA7AE9">
      <w:pPr>
        <w:pStyle w:val="balk10"/>
        <w:spacing w:before="0" w:after="0"/>
        <w:ind w:firstLine="0"/>
        <w:rPr>
          <w:rFonts w:eastAsia="Times New Roman"/>
          <w:lang w:val="en-US" w:eastAsia="en-US"/>
        </w:rPr>
      </w:pPr>
      <w:bookmarkStart w:id="103" w:name="_Toc64567886"/>
    </w:p>
    <w:p w14:paraId="35092138" w14:textId="77777777" w:rsidR="001977AF" w:rsidRDefault="007943A0" w:rsidP="001977AF">
      <w:pPr>
        <w:pStyle w:val="balk10"/>
        <w:spacing w:before="0" w:after="0" w:line="240" w:lineRule="auto"/>
        <w:rPr>
          <w:rFonts w:eastAsia="Times New Roman"/>
          <w:lang w:val="en-US" w:eastAsia="en-US"/>
        </w:rPr>
      </w:pPr>
      <w:r w:rsidRPr="007943A0">
        <w:rPr>
          <w:rFonts w:eastAsia="Times New Roman"/>
          <w:lang w:val="en-US" w:eastAsia="en-US"/>
        </w:rPr>
        <w:t>4. TARTIŞMA</w:t>
      </w:r>
      <w:bookmarkEnd w:id="103"/>
    </w:p>
    <w:p w14:paraId="6075FEDD" w14:textId="3A4C2FB8" w:rsidR="007943A0" w:rsidRPr="007943A0" w:rsidRDefault="007943A0" w:rsidP="001977AF">
      <w:pPr>
        <w:pStyle w:val="balk10"/>
        <w:spacing w:before="0" w:after="0"/>
        <w:rPr>
          <w:rFonts w:eastAsia="Times New Roman"/>
          <w:lang w:val="en-US" w:eastAsia="en-US"/>
        </w:rPr>
      </w:pPr>
      <w:r w:rsidRPr="007943A0">
        <w:rPr>
          <w:rFonts w:eastAsia="Times New Roman"/>
          <w:lang w:val="en-US" w:eastAsia="en-US"/>
        </w:rPr>
        <w:t xml:space="preserve"> </w:t>
      </w:r>
    </w:p>
    <w:p w14:paraId="29BF4971" w14:textId="60C6274D" w:rsidR="007943A0" w:rsidRPr="007943A0" w:rsidRDefault="007943A0" w:rsidP="0015234E">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Donepezil gibi birçok piperidin türevi farmakolojik olarak aktif bileşiklerin ve önemli ilaçların temel yapısını oluşturmaktadır. Azot atomu içeren heterosiklik bileşiklerin içerisinde piperidin yapıları ayrı bir öneme sahiptir.</w:t>
      </w:r>
      <w:r w:rsidRPr="007943A0">
        <w:rPr>
          <w:rFonts w:ascii="Calibri" w:eastAsia="Calibri" w:hAnsi="Calibri"/>
          <w:color w:val="auto"/>
          <w:sz w:val="22"/>
          <w:szCs w:val="22"/>
          <w:lang w:val="en-US" w:eastAsia="en-US"/>
        </w:rPr>
        <w:t xml:space="preserve"> </w:t>
      </w:r>
      <w:r w:rsidRPr="007943A0">
        <w:rPr>
          <w:rFonts w:eastAsia="Calibri"/>
          <w:color w:val="auto"/>
          <w:lang w:val="en-US" w:eastAsia="en-US"/>
        </w:rPr>
        <w:t>Birçok biyolojik ve medikal öneme sahip doğal ve doğal olmayan bileşiklerin yapısında piperidin iskeleti bulunur. Piperidinler bazı farmasötiklerin üretiminde ayrıca gıda katkı maddesi olarak kullanılmaktadırlar. Çalışmamızda, sentezi yapılmış olan iki piperidin türevi etanol içerisinde çözü</w:t>
      </w:r>
      <w:r w:rsidR="008033FF">
        <w:rPr>
          <w:rFonts w:eastAsia="Calibri"/>
          <w:color w:val="auto"/>
          <w:lang w:val="en-US" w:eastAsia="en-US"/>
        </w:rPr>
        <w:t xml:space="preserve">lerek kullanılmıştır (1mg/mL). </w:t>
      </w:r>
      <w:r w:rsidRPr="007943A0">
        <w:rPr>
          <w:rFonts w:eastAsia="Calibri"/>
          <w:color w:val="auto"/>
          <w:lang w:val="en-US" w:eastAsia="en-US"/>
        </w:rPr>
        <w:t>Her bir maddenin</w:t>
      </w:r>
      <w:r w:rsidR="00256ECF">
        <w:rPr>
          <w:rFonts w:eastAsia="Calibri"/>
          <w:color w:val="auto"/>
          <w:lang w:val="en-US" w:eastAsia="en-US"/>
        </w:rPr>
        <w:t xml:space="preserve"> </w:t>
      </w:r>
      <w:r w:rsidRPr="007943A0">
        <w:rPr>
          <w:rFonts w:eastAsia="Calibri"/>
          <w:color w:val="auto"/>
          <w:lang w:val="en-US" w:eastAsia="en-US"/>
        </w:rPr>
        <w:t>kolinesteraz enzim aktivitesi belirlenerek IC</w:t>
      </w:r>
      <w:r w:rsidRPr="007943A0">
        <w:rPr>
          <w:rFonts w:eastAsia="Calibri"/>
          <w:color w:val="auto"/>
          <w:vertAlign w:val="subscript"/>
          <w:lang w:val="en-US" w:eastAsia="en-US"/>
        </w:rPr>
        <w:t>50</w:t>
      </w:r>
      <w:r w:rsidRPr="007943A0">
        <w:rPr>
          <w:rFonts w:eastAsia="Calibri"/>
          <w:color w:val="auto"/>
          <w:lang w:val="en-US" w:eastAsia="en-US"/>
        </w:rPr>
        <w:t xml:space="preserve"> ve </w:t>
      </w:r>
      <w:r w:rsidR="008033FF">
        <w:rPr>
          <w:rFonts w:eastAsia="Calibri"/>
          <w:color w:val="auto"/>
          <w:lang w:val="en-US" w:eastAsia="en-US"/>
        </w:rPr>
        <w:t>k</w:t>
      </w:r>
      <w:r w:rsidRPr="008033FF">
        <w:rPr>
          <w:rFonts w:eastAsia="Calibri"/>
          <w:color w:val="auto"/>
          <w:vertAlign w:val="subscript"/>
          <w:lang w:val="en-US" w:eastAsia="en-US"/>
        </w:rPr>
        <w:t xml:space="preserve">i </w:t>
      </w:r>
      <w:r w:rsidRPr="007943A0">
        <w:rPr>
          <w:rFonts w:eastAsia="Calibri"/>
          <w:color w:val="auto"/>
          <w:lang w:val="en-US" w:eastAsia="en-US"/>
        </w:rPr>
        <w:t>değerleri bulunmuştur.</w:t>
      </w:r>
      <w:r w:rsidR="00256ECF">
        <w:rPr>
          <w:rFonts w:eastAsia="Calibri"/>
          <w:color w:val="auto"/>
          <w:lang w:val="en-US" w:eastAsia="en-US"/>
        </w:rPr>
        <w:t xml:space="preserve"> </w:t>
      </w:r>
      <w:r w:rsidR="008033FF">
        <w:rPr>
          <w:rFonts w:eastAsia="Calibri"/>
          <w:color w:val="auto"/>
          <w:lang w:val="en-US" w:eastAsia="en-US"/>
        </w:rPr>
        <w:t xml:space="preserve">Ayrıca bileşiklerin </w:t>
      </w:r>
      <w:r w:rsidRPr="007943A0">
        <w:rPr>
          <w:rFonts w:eastAsia="Calibri"/>
          <w:color w:val="auto"/>
          <w:lang w:val="en-US" w:eastAsia="en-US"/>
        </w:rPr>
        <w:t>7 farklı suş üzerindeki antimikrobiyal aktiviteleri disk difüzyon yöntemi ile belirlenmiştir.</w:t>
      </w:r>
      <w:r w:rsidRPr="007943A0">
        <w:rPr>
          <w:rFonts w:ascii="Calibri" w:eastAsia="Calibri" w:hAnsi="Calibri"/>
          <w:color w:val="auto"/>
          <w:sz w:val="22"/>
          <w:szCs w:val="22"/>
          <w:lang w:val="en-US" w:eastAsia="en-US"/>
        </w:rPr>
        <w:t xml:space="preserve"> </w:t>
      </w:r>
      <w:r w:rsidRPr="007943A0">
        <w:rPr>
          <w:rFonts w:eastAsia="Calibri"/>
          <w:color w:val="auto"/>
          <w:lang w:val="en-US" w:eastAsia="en-US"/>
        </w:rPr>
        <w:t>Maddelerin son konsantrasyonları 30 mg/mL olacak şekilde etanol ve DMSO’da çözülerek hazırlanmıştır. Pozitif kontrol olarak Ampisilin/Sulbaktam ve basitrasin kullanılmıştır.</w:t>
      </w:r>
      <w:r w:rsidR="00256ECF" w:rsidRPr="00256ECF">
        <w:rPr>
          <w:rFonts w:eastAsia="Calibri"/>
          <w:color w:val="auto"/>
          <w:lang w:val="en-US" w:eastAsia="en-US"/>
        </w:rPr>
        <w:t xml:space="preserve"> </w:t>
      </w:r>
      <w:r w:rsidR="008033FF">
        <w:rPr>
          <w:rFonts w:eastAsia="Calibri"/>
          <w:color w:val="auto"/>
          <w:lang w:val="en-US" w:eastAsia="en-US"/>
        </w:rPr>
        <w:t>Petrilere numune ve pozitif kontroll</w:t>
      </w:r>
      <w:r w:rsidR="00256ECF">
        <w:rPr>
          <w:rFonts w:eastAsia="Calibri"/>
          <w:color w:val="auto"/>
          <w:lang w:val="en-US" w:eastAsia="en-US"/>
        </w:rPr>
        <w:t xml:space="preserve">erden 100 </w:t>
      </w:r>
      <w:r w:rsidR="00256ECF" w:rsidRPr="00256ECF">
        <w:rPr>
          <w:rFonts w:ascii="Symbol" w:eastAsia="Calibri" w:hAnsi="Symbol"/>
          <w:color w:val="auto"/>
          <w:lang w:val="en-US" w:eastAsia="en-US"/>
        </w:rPr>
        <w:t></w:t>
      </w:r>
      <w:r w:rsidR="00256ECF">
        <w:rPr>
          <w:rFonts w:eastAsia="Calibri"/>
          <w:color w:val="auto"/>
          <w:lang w:val="en-US" w:eastAsia="en-US"/>
        </w:rPr>
        <w:t>L inoküle edilmiştir.</w:t>
      </w:r>
    </w:p>
    <w:p w14:paraId="32705BC8" w14:textId="4CC5A526" w:rsidR="002C283F" w:rsidRDefault="007943A0" w:rsidP="0015234E">
      <w:pPr>
        <w:widowControl w:val="0"/>
        <w:spacing w:after="0" w:line="360" w:lineRule="auto"/>
        <w:ind w:firstLine="567"/>
        <w:jc w:val="both"/>
        <w:rPr>
          <w:rFonts w:eastAsia="Times New Roman"/>
          <w:color w:val="auto"/>
          <w:lang w:val="en-US" w:eastAsia="en-US"/>
        </w:rPr>
      </w:pPr>
      <w:r w:rsidRPr="007943A0">
        <w:rPr>
          <w:rFonts w:eastAsia="Calibri"/>
          <w:color w:val="auto"/>
          <w:lang w:val="en-US" w:eastAsia="en-US"/>
        </w:rPr>
        <w:t xml:space="preserve">(1-metil-4-hidroksi-4-fenil </w:t>
      </w:r>
      <w:r w:rsidR="00CF10A6">
        <w:rPr>
          <w:rFonts w:eastAsia="Calibri"/>
          <w:color w:val="auto"/>
          <w:lang w:val="en-US" w:eastAsia="en-US"/>
        </w:rPr>
        <w:t xml:space="preserve">piperidin-3-il) (fenil) metanon, </w:t>
      </w:r>
      <w:r w:rsidR="00CC5E3F">
        <w:rPr>
          <w:rFonts w:eastAsia="Calibri"/>
          <w:color w:val="auto"/>
          <w:lang w:val="en-US" w:eastAsia="en-US"/>
        </w:rPr>
        <w:t>(1-</w:t>
      </w:r>
      <w:r w:rsidRPr="007943A0">
        <w:rPr>
          <w:rFonts w:eastAsia="Calibri"/>
          <w:color w:val="auto"/>
          <w:lang w:val="en-US" w:eastAsia="en-US"/>
        </w:rPr>
        <w:t>etil-4-hidroksi-4-fenil piperidin-3-il) (fenil) metanon bileşiklerinin</w:t>
      </w:r>
      <w:r w:rsidR="00CF10A6">
        <w:rPr>
          <w:rFonts w:eastAsia="Calibri"/>
          <w:color w:val="auto"/>
          <w:lang w:val="en-US" w:eastAsia="en-US"/>
        </w:rPr>
        <w:t xml:space="preserve"> ve donepezil</w:t>
      </w:r>
      <w:r w:rsidRPr="007943A0">
        <w:rPr>
          <w:rFonts w:eastAsia="Calibri"/>
          <w:color w:val="auto"/>
          <w:lang w:val="en-US" w:eastAsia="en-US"/>
        </w:rPr>
        <w:t xml:space="preserve">  AChE ve BChE enzimleri için IC</w:t>
      </w:r>
      <w:r w:rsidRPr="007943A0">
        <w:rPr>
          <w:rFonts w:eastAsia="Calibri"/>
          <w:color w:val="auto"/>
          <w:vertAlign w:val="subscript"/>
          <w:lang w:val="en-US" w:eastAsia="en-US"/>
        </w:rPr>
        <w:t>50</w:t>
      </w:r>
      <w:r w:rsidR="008033FF">
        <w:rPr>
          <w:rFonts w:eastAsia="Calibri"/>
          <w:color w:val="auto"/>
          <w:lang w:val="en-US" w:eastAsia="en-US"/>
        </w:rPr>
        <w:t xml:space="preserve"> ve k</w:t>
      </w:r>
      <w:r w:rsidR="00CF10A6" w:rsidRPr="008033FF">
        <w:rPr>
          <w:rFonts w:eastAsia="Calibri"/>
          <w:color w:val="auto"/>
          <w:vertAlign w:val="subscript"/>
          <w:lang w:val="en-US" w:eastAsia="en-US"/>
        </w:rPr>
        <w:t xml:space="preserve">i </w:t>
      </w:r>
      <w:r w:rsidR="00CF10A6">
        <w:rPr>
          <w:rFonts w:eastAsia="Calibri"/>
          <w:color w:val="auto"/>
          <w:lang w:val="en-US" w:eastAsia="en-US"/>
        </w:rPr>
        <w:t xml:space="preserve">değerleri Tablo 3.1., </w:t>
      </w:r>
      <w:r w:rsidRPr="007943A0">
        <w:rPr>
          <w:rFonts w:eastAsia="Calibri"/>
          <w:color w:val="auto"/>
          <w:lang w:val="en-US" w:eastAsia="en-US"/>
        </w:rPr>
        <w:t>Tablo 3.2.</w:t>
      </w:r>
      <w:r w:rsidR="00CF10A6">
        <w:rPr>
          <w:rFonts w:eastAsia="Calibri"/>
          <w:color w:val="auto"/>
          <w:lang w:val="en-US" w:eastAsia="en-US"/>
        </w:rPr>
        <w:t xml:space="preserve"> ve Tablo 3.3.</w:t>
      </w:r>
      <w:r w:rsidRPr="007943A0">
        <w:rPr>
          <w:rFonts w:eastAsia="Calibri"/>
          <w:color w:val="auto"/>
          <w:lang w:val="en-US" w:eastAsia="en-US"/>
        </w:rPr>
        <w:t xml:space="preserve"> de verilmiştir. (1-metil-4-hidroksi-4-fenil piperidin-3-il) (fenil) metanon bileşiği için IC</w:t>
      </w:r>
      <w:r w:rsidRPr="007943A0">
        <w:rPr>
          <w:rFonts w:eastAsia="Calibri"/>
          <w:color w:val="auto"/>
          <w:vertAlign w:val="subscript"/>
          <w:lang w:val="en-US" w:eastAsia="en-US"/>
        </w:rPr>
        <w:t xml:space="preserve">50 </w:t>
      </w:r>
      <w:r w:rsidRPr="007943A0">
        <w:rPr>
          <w:rFonts w:eastAsia="Calibri"/>
          <w:color w:val="auto"/>
          <w:lang w:val="en-US" w:eastAsia="en-US"/>
        </w:rPr>
        <w:t>değerleri</w:t>
      </w:r>
      <w:r w:rsidRPr="007943A0">
        <w:rPr>
          <w:rFonts w:eastAsia="Calibri"/>
          <w:color w:val="auto"/>
          <w:vertAlign w:val="subscript"/>
          <w:lang w:val="en-US" w:eastAsia="en-US"/>
        </w:rPr>
        <w:t xml:space="preserve">  </w:t>
      </w:r>
      <w:r w:rsidRPr="007943A0">
        <w:rPr>
          <w:rFonts w:eastAsia="Calibri"/>
          <w:color w:val="auto"/>
          <w:lang w:val="en-US" w:eastAsia="en-US"/>
        </w:rPr>
        <w:t>(IC</w:t>
      </w:r>
      <w:r w:rsidRPr="007943A0">
        <w:rPr>
          <w:rFonts w:eastAsia="Calibri"/>
          <w:color w:val="auto"/>
          <w:vertAlign w:val="subscript"/>
          <w:lang w:val="en-US" w:eastAsia="en-US"/>
        </w:rPr>
        <w:t>50</w:t>
      </w:r>
      <w:r w:rsidRPr="007943A0">
        <w:rPr>
          <w:rFonts w:eastAsia="Calibri"/>
          <w:color w:val="auto"/>
          <w:lang w:val="en-US" w:eastAsia="en-US"/>
        </w:rPr>
        <w:t xml:space="preserve"> </w:t>
      </w:r>
      <w:r w:rsidRPr="007943A0">
        <w:rPr>
          <w:rFonts w:eastAsia="Calibri"/>
          <w:color w:val="auto"/>
          <w:vertAlign w:val="subscript"/>
          <w:lang w:val="en-US" w:eastAsia="en-US"/>
        </w:rPr>
        <w:t>AChE</w:t>
      </w:r>
      <w:r w:rsidRPr="007943A0">
        <w:rPr>
          <w:rFonts w:eastAsia="Calibri"/>
          <w:color w:val="auto"/>
          <w:lang w:val="en-US" w:eastAsia="en-US"/>
        </w:rPr>
        <w:t xml:space="preserve">: 4.584 </w:t>
      </w:r>
      <w:r w:rsidRPr="007943A0">
        <w:rPr>
          <w:rFonts w:ascii="Symbol" w:eastAsia="Calibri" w:hAnsi="Symbol"/>
          <w:color w:val="auto"/>
          <w:lang w:val="en-US" w:eastAsia="en-US"/>
        </w:rPr>
        <w:t></w:t>
      </w:r>
      <w:r w:rsidRPr="007943A0">
        <w:rPr>
          <w:rFonts w:eastAsia="Calibri"/>
          <w:color w:val="auto"/>
          <w:lang w:val="en-US" w:eastAsia="en-US"/>
        </w:rPr>
        <w:t>M; IC</w:t>
      </w:r>
      <w:r w:rsidRPr="007943A0">
        <w:rPr>
          <w:rFonts w:eastAsia="Calibri"/>
          <w:color w:val="auto"/>
          <w:vertAlign w:val="subscript"/>
          <w:lang w:val="en-US" w:eastAsia="en-US"/>
        </w:rPr>
        <w:t>50</w:t>
      </w:r>
      <w:r w:rsidRPr="007943A0">
        <w:rPr>
          <w:rFonts w:eastAsia="Calibri"/>
          <w:color w:val="auto"/>
          <w:lang w:val="en-US" w:eastAsia="en-US"/>
        </w:rPr>
        <w:t xml:space="preserve"> </w:t>
      </w:r>
      <w:r w:rsidRPr="007943A0">
        <w:rPr>
          <w:rFonts w:eastAsia="Calibri"/>
          <w:color w:val="auto"/>
          <w:vertAlign w:val="subscript"/>
          <w:lang w:val="en-US" w:eastAsia="en-US"/>
        </w:rPr>
        <w:t>BChE</w:t>
      </w:r>
      <w:r w:rsidRPr="007943A0">
        <w:rPr>
          <w:rFonts w:eastAsia="Calibri"/>
          <w:color w:val="auto"/>
          <w:lang w:val="en-US" w:eastAsia="en-US"/>
        </w:rPr>
        <w:t>: 51.448</w:t>
      </w:r>
      <w:r w:rsidRPr="007943A0">
        <w:rPr>
          <w:rFonts w:ascii="Symbol" w:eastAsia="Calibri" w:hAnsi="Symbol"/>
          <w:color w:val="auto"/>
          <w:lang w:val="en-US" w:eastAsia="en-US"/>
        </w:rPr>
        <w:t></w:t>
      </w:r>
      <w:r w:rsidR="008033FF">
        <w:rPr>
          <w:rFonts w:eastAsia="Calibri"/>
          <w:color w:val="auto"/>
          <w:lang w:val="en-US" w:eastAsia="en-US"/>
        </w:rPr>
        <w:t>M) ve k</w:t>
      </w:r>
      <w:r w:rsidRPr="007943A0">
        <w:rPr>
          <w:rFonts w:eastAsia="Calibri"/>
          <w:color w:val="auto"/>
          <w:vertAlign w:val="subscript"/>
          <w:lang w:val="en-US" w:eastAsia="en-US"/>
        </w:rPr>
        <w:t xml:space="preserve">i </w:t>
      </w:r>
      <w:r w:rsidRPr="007943A0">
        <w:rPr>
          <w:rFonts w:eastAsia="Calibri"/>
          <w:color w:val="auto"/>
          <w:lang w:val="en-US" w:eastAsia="en-US"/>
        </w:rPr>
        <w:t>değerleri (k</w:t>
      </w:r>
      <w:r w:rsidRPr="007943A0">
        <w:rPr>
          <w:rFonts w:eastAsia="Calibri"/>
          <w:color w:val="auto"/>
          <w:vertAlign w:val="subscript"/>
          <w:lang w:val="en-US" w:eastAsia="en-US"/>
        </w:rPr>
        <w:t xml:space="preserve">i AChE: </w:t>
      </w:r>
      <w:r w:rsidRPr="007943A0">
        <w:rPr>
          <w:rFonts w:eastAsia="Times New Roman"/>
          <w:color w:val="auto"/>
          <w:lang w:val="en-US" w:eastAsia="en-US"/>
        </w:rPr>
        <w:t xml:space="preserve">0.00344±0.00071; ki </w:t>
      </w:r>
      <w:r w:rsidRPr="007943A0">
        <w:rPr>
          <w:rFonts w:eastAsia="Times New Roman"/>
          <w:color w:val="auto"/>
          <w:vertAlign w:val="subscript"/>
          <w:lang w:val="en-US" w:eastAsia="en-US"/>
        </w:rPr>
        <w:t>BChE</w:t>
      </w:r>
      <w:r w:rsidRPr="007943A0">
        <w:rPr>
          <w:rFonts w:eastAsia="Times New Roman"/>
          <w:color w:val="auto"/>
          <w:lang w:val="en-US" w:eastAsia="en-US"/>
        </w:rPr>
        <w:t>:</w:t>
      </w:r>
      <w:r w:rsidRPr="007943A0">
        <w:rPr>
          <w:rFonts w:ascii="Calibri" w:eastAsia="Calibri" w:hAnsi="Calibri"/>
          <w:color w:val="auto"/>
          <w:sz w:val="22"/>
          <w:szCs w:val="22"/>
          <w:lang w:val="en-US" w:eastAsia="en-US"/>
        </w:rPr>
        <w:t xml:space="preserve"> </w:t>
      </w:r>
      <w:r w:rsidRPr="007943A0">
        <w:rPr>
          <w:rFonts w:eastAsia="Times New Roman"/>
          <w:color w:val="auto"/>
          <w:lang w:val="en-US" w:eastAsia="en-US"/>
        </w:rPr>
        <w:t>0.05406±0.01009) olarak hesaplanmıştır.</w:t>
      </w:r>
      <w:r w:rsidRPr="007943A0">
        <w:rPr>
          <w:rFonts w:ascii="Calibri" w:eastAsia="Calibri" w:hAnsi="Calibri"/>
          <w:color w:val="auto"/>
          <w:sz w:val="22"/>
          <w:szCs w:val="22"/>
          <w:lang w:val="en-US" w:eastAsia="en-US"/>
        </w:rPr>
        <w:t xml:space="preserve"> </w:t>
      </w:r>
      <w:r w:rsidRPr="007943A0">
        <w:rPr>
          <w:rFonts w:eastAsia="Times New Roman"/>
          <w:color w:val="auto"/>
          <w:lang w:val="en-US" w:eastAsia="en-US"/>
        </w:rPr>
        <w:t>(1-etil-4-hidroksi-4-fenil piperidin-3-il) (f</w:t>
      </w:r>
      <w:r w:rsidR="00CF10A6">
        <w:rPr>
          <w:rFonts w:eastAsia="Times New Roman"/>
          <w:color w:val="auto"/>
          <w:lang w:val="en-US" w:eastAsia="en-US"/>
        </w:rPr>
        <w:t xml:space="preserve">enil) metanon bileşiği için </w:t>
      </w:r>
      <w:r w:rsidRPr="007943A0">
        <w:rPr>
          <w:rFonts w:eastAsia="Times New Roman"/>
          <w:color w:val="auto"/>
          <w:lang w:val="en-US" w:eastAsia="en-US"/>
        </w:rPr>
        <w:t>IC</w:t>
      </w:r>
      <w:r w:rsidRPr="007943A0">
        <w:rPr>
          <w:rFonts w:eastAsia="Times New Roman"/>
          <w:color w:val="auto"/>
          <w:vertAlign w:val="subscript"/>
          <w:lang w:val="en-US" w:eastAsia="en-US"/>
        </w:rPr>
        <w:t>50</w:t>
      </w:r>
      <w:r w:rsidRPr="007943A0">
        <w:rPr>
          <w:rFonts w:eastAsia="Times New Roman"/>
          <w:color w:val="auto"/>
          <w:lang w:val="en-US" w:eastAsia="en-US"/>
        </w:rPr>
        <w:t xml:space="preserve"> değerleri  (IC</w:t>
      </w:r>
      <w:r w:rsidRPr="007943A0">
        <w:rPr>
          <w:rFonts w:eastAsia="Times New Roman"/>
          <w:color w:val="auto"/>
          <w:vertAlign w:val="subscript"/>
          <w:lang w:val="en-US" w:eastAsia="en-US"/>
        </w:rPr>
        <w:t>50</w:t>
      </w:r>
      <w:r w:rsidRPr="007943A0">
        <w:rPr>
          <w:rFonts w:eastAsia="Times New Roman"/>
          <w:color w:val="auto"/>
          <w:lang w:val="en-US" w:eastAsia="en-US"/>
        </w:rPr>
        <w:t xml:space="preserve"> </w:t>
      </w:r>
      <w:r w:rsidRPr="007943A0">
        <w:rPr>
          <w:rFonts w:eastAsia="Times New Roman"/>
          <w:color w:val="auto"/>
          <w:vertAlign w:val="subscript"/>
          <w:lang w:val="en-US" w:eastAsia="en-US"/>
        </w:rPr>
        <w:t>AChE</w:t>
      </w:r>
      <w:r w:rsidR="0058398D">
        <w:rPr>
          <w:rFonts w:eastAsia="Times New Roman"/>
          <w:color w:val="auto"/>
          <w:lang w:val="en-US" w:eastAsia="en-US"/>
        </w:rPr>
        <w:t>: 4.</w:t>
      </w:r>
      <w:r w:rsidRPr="007943A0">
        <w:rPr>
          <w:rFonts w:eastAsia="Times New Roman"/>
          <w:color w:val="auto"/>
          <w:lang w:val="en-US" w:eastAsia="en-US"/>
        </w:rPr>
        <w:t xml:space="preserve">312 </w:t>
      </w:r>
      <w:r w:rsidRPr="007943A0">
        <w:rPr>
          <w:rFonts w:ascii="Symbol" w:eastAsia="Times New Roman" w:hAnsi="Symbol"/>
          <w:color w:val="auto"/>
          <w:lang w:val="en-US" w:eastAsia="en-US"/>
        </w:rPr>
        <w:t></w:t>
      </w:r>
      <w:r w:rsidRPr="007943A0">
        <w:rPr>
          <w:rFonts w:eastAsia="Times New Roman"/>
          <w:color w:val="auto"/>
          <w:lang w:val="en-US" w:eastAsia="en-US"/>
        </w:rPr>
        <w:t>M; IC</w:t>
      </w:r>
      <w:r w:rsidRPr="007943A0">
        <w:rPr>
          <w:rFonts w:eastAsia="Times New Roman"/>
          <w:color w:val="auto"/>
          <w:vertAlign w:val="subscript"/>
          <w:lang w:val="en-US" w:eastAsia="en-US"/>
        </w:rPr>
        <w:t>50</w:t>
      </w:r>
      <w:r w:rsidRPr="007943A0">
        <w:rPr>
          <w:rFonts w:eastAsia="Times New Roman"/>
          <w:color w:val="auto"/>
          <w:lang w:val="en-US" w:eastAsia="en-US"/>
        </w:rPr>
        <w:t xml:space="preserve"> </w:t>
      </w:r>
      <w:r w:rsidRPr="007943A0">
        <w:rPr>
          <w:rFonts w:eastAsia="Times New Roman"/>
          <w:color w:val="auto"/>
          <w:vertAlign w:val="subscript"/>
          <w:lang w:val="en-US" w:eastAsia="en-US"/>
        </w:rPr>
        <w:t>BChE</w:t>
      </w:r>
      <w:r w:rsidRPr="007943A0">
        <w:rPr>
          <w:rFonts w:eastAsia="Times New Roman"/>
          <w:color w:val="auto"/>
          <w:lang w:val="en-US" w:eastAsia="en-US"/>
        </w:rPr>
        <w:t xml:space="preserve">: 47.968 </w:t>
      </w:r>
      <w:r w:rsidRPr="007943A0">
        <w:rPr>
          <w:rFonts w:ascii="Symbol" w:eastAsia="Times New Roman" w:hAnsi="Symbol"/>
          <w:color w:val="auto"/>
          <w:lang w:val="en-US" w:eastAsia="en-US"/>
        </w:rPr>
        <w:t></w:t>
      </w:r>
      <w:r w:rsidR="00256ECF">
        <w:rPr>
          <w:rFonts w:eastAsia="Times New Roman"/>
          <w:color w:val="auto"/>
          <w:lang w:val="en-US" w:eastAsia="en-US"/>
        </w:rPr>
        <w:t>M) ve k</w:t>
      </w:r>
      <w:r w:rsidRPr="005020FF">
        <w:rPr>
          <w:rFonts w:eastAsia="Times New Roman"/>
          <w:color w:val="auto"/>
          <w:vertAlign w:val="subscript"/>
          <w:lang w:val="en-US" w:eastAsia="en-US"/>
        </w:rPr>
        <w:t>i</w:t>
      </w:r>
      <w:r w:rsidRPr="007943A0">
        <w:rPr>
          <w:rFonts w:eastAsia="Times New Roman"/>
          <w:color w:val="auto"/>
          <w:lang w:val="en-US" w:eastAsia="en-US"/>
        </w:rPr>
        <w:t xml:space="preserve"> değerleri (k</w:t>
      </w:r>
      <w:r w:rsidRPr="005020FF">
        <w:rPr>
          <w:rFonts w:eastAsia="Times New Roman"/>
          <w:color w:val="auto"/>
          <w:vertAlign w:val="subscript"/>
          <w:lang w:val="en-US" w:eastAsia="en-US"/>
        </w:rPr>
        <w:t>i</w:t>
      </w:r>
      <w:r w:rsidRPr="007943A0">
        <w:rPr>
          <w:rFonts w:eastAsia="Times New Roman"/>
          <w:color w:val="auto"/>
          <w:lang w:val="en-US" w:eastAsia="en-US"/>
        </w:rPr>
        <w:t xml:space="preserve"> </w:t>
      </w:r>
      <w:r w:rsidRPr="007943A0">
        <w:rPr>
          <w:rFonts w:eastAsia="Times New Roman"/>
          <w:color w:val="auto"/>
          <w:vertAlign w:val="subscript"/>
          <w:lang w:val="en-US" w:eastAsia="en-US"/>
        </w:rPr>
        <w:t>AChE</w:t>
      </w:r>
      <w:r w:rsidRPr="007943A0">
        <w:rPr>
          <w:rFonts w:eastAsia="Times New Roman"/>
          <w:color w:val="auto"/>
          <w:lang w:val="en-US" w:eastAsia="en-US"/>
        </w:rPr>
        <w:t>:</w:t>
      </w:r>
      <w:r w:rsidRPr="007943A0">
        <w:rPr>
          <w:rFonts w:ascii="Calibri" w:eastAsia="Calibri" w:hAnsi="Calibri"/>
          <w:color w:val="auto"/>
          <w:sz w:val="22"/>
          <w:szCs w:val="22"/>
          <w:lang w:val="en-US" w:eastAsia="en-US"/>
        </w:rPr>
        <w:t xml:space="preserve"> </w:t>
      </w:r>
      <w:r w:rsidRPr="007943A0">
        <w:rPr>
          <w:rFonts w:eastAsia="Times New Roman"/>
          <w:color w:val="auto"/>
          <w:lang w:val="en-US" w:eastAsia="en-US"/>
        </w:rPr>
        <w:t xml:space="preserve">0.003047±0.00060; ki </w:t>
      </w:r>
      <w:r w:rsidRPr="007943A0">
        <w:rPr>
          <w:rFonts w:eastAsia="Times New Roman"/>
          <w:color w:val="auto"/>
          <w:vertAlign w:val="subscript"/>
          <w:lang w:val="en-US" w:eastAsia="en-US"/>
        </w:rPr>
        <w:t>BChE</w:t>
      </w:r>
      <w:r w:rsidR="00256ECF">
        <w:rPr>
          <w:rFonts w:eastAsia="Times New Roman"/>
          <w:color w:val="auto"/>
          <w:lang w:val="en-US" w:eastAsia="en-US"/>
        </w:rPr>
        <w:t>: 0.04404±0.0</w:t>
      </w:r>
      <w:r w:rsidR="00CF10A6">
        <w:rPr>
          <w:rFonts w:eastAsia="Times New Roman"/>
          <w:color w:val="auto"/>
          <w:lang w:val="en-US" w:eastAsia="en-US"/>
        </w:rPr>
        <w:t>5109</w:t>
      </w:r>
      <w:r w:rsidRPr="007943A0">
        <w:rPr>
          <w:rFonts w:eastAsia="Times New Roman"/>
          <w:color w:val="auto"/>
          <w:lang w:val="en-US" w:eastAsia="en-US"/>
        </w:rPr>
        <w:t>) olarak</w:t>
      </w:r>
      <w:r w:rsidR="00CF10A6">
        <w:rPr>
          <w:rFonts w:eastAsia="Times New Roman"/>
          <w:color w:val="auto"/>
          <w:lang w:val="en-US" w:eastAsia="en-US"/>
        </w:rPr>
        <w:t>;</w:t>
      </w:r>
      <w:r w:rsidRPr="007943A0">
        <w:rPr>
          <w:rFonts w:eastAsia="Times New Roman"/>
          <w:color w:val="auto"/>
          <w:lang w:val="en-US" w:eastAsia="en-US"/>
        </w:rPr>
        <w:t xml:space="preserve"> </w:t>
      </w:r>
      <w:r w:rsidR="00CF10A6">
        <w:rPr>
          <w:rFonts w:eastAsia="Times New Roman"/>
          <w:color w:val="auto"/>
          <w:lang w:val="en-US" w:eastAsia="en-US"/>
        </w:rPr>
        <w:t>donepezilin ise</w:t>
      </w:r>
      <w:r w:rsidR="00CF10A6" w:rsidRPr="00256ECF">
        <w:t xml:space="preserve"> </w:t>
      </w:r>
      <w:r w:rsidR="00CF10A6" w:rsidRPr="00256ECF">
        <w:rPr>
          <w:rFonts w:eastAsia="Times New Roman"/>
          <w:color w:val="auto"/>
          <w:lang w:val="en-US" w:eastAsia="en-US"/>
        </w:rPr>
        <w:t>IC</w:t>
      </w:r>
      <w:r w:rsidR="00CF10A6" w:rsidRPr="00256ECF">
        <w:rPr>
          <w:rFonts w:eastAsia="Times New Roman"/>
          <w:color w:val="auto"/>
          <w:vertAlign w:val="subscript"/>
          <w:lang w:val="en-US" w:eastAsia="en-US"/>
        </w:rPr>
        <w:t>50</w:t>
      </w:r>
      <w:r w:rsidR="005020FF">
        <w:rPr>
          <w:rFonts w:eastAsia="Times New Roman"/>
          <w:color w:val="auto"/>
          <w:lang w:val="en-US" w:eastAsia="en-US"/>
        </w:rPr>
        <w:t xml:space="preserve"> değeri</w:t>
      </w:r>
      <w:r w:rsidR="00CF10A6">
        <w:rPr>
          <w:rFonts w:eastAsia="Times New Roman"/>
          <w:color w:val="auto"/>
          <w:lang w:val="en-US" w:eastAsia="en-US"/>
        </w:rPr>
        <w:t xml:space="preserve"> (AChE: 0.032</w:t>
      </w:r>
      <w:r w:rsidR="00CF10A6" w:rsidRPr="00256ECF">
        <w:rPr>
          <w:rFonts w:ascii="Symbol" w:eastAsia="Times New Roman" w:hAnsi="Symbol"/>
          <w:color w:val="auto"/>
          <w:lang w:val="en-US" w:eastAsia="en-US"/>
        </w:rPr>
        <w:t></w:t>
      </w:r>
      <w:r w:rsidR="00CF10A6">
        <w:rPr>
          <w:rFonts w:eastAsia="Times New Roman"/>
          <w:color w:val="auto"/>
          <w:lang w:val="en-US" w:eastAsia="en-US"/>
        </w:rPr>
        <w:t>M) ve k</w:t>
      </w:r>
      <w:r w:rsidR="00CF10A6" w:rsidRPr="005020FF">
        <w:rPr>
          <w:rFonts w:eastAsia="Times New Roman"/>
          <w:color w:val="auto"/>
          <w:vertAlign w:val="subscript"/>
          <w:lang w:val="en-US" w:eastAsia="en-US"/>
        </w:rPr>
        <w:t>i</w:t>
      </w:r>
      <w:r w:rsidR="00CF10A6">
        <w:rPr>
          <w:rFonts w:eastAsia="Times New Roman"/>
          <w:color w:val="auto"/>
          <w:lang w:val="en-US" w:eastAsia="en-US"/>
        </w:rPr>
        <w:t xml:space="preserve"> değeri (AChE: 0.00004</w:t>
      </w:r>
      <w:r w:rsidR="00CF10A6" w:rsidRPr="00256ECF">
        <w:rPr>
          <w:rFonts w:eastAsia="Times New Roman"/>
          <w:color w:val="auto"/>
          <w:lang w:val="en-US" w:eastAsia="en-US"/>
        </w:rPr>
        <w:t>±0.000</w:t>
      </w:r>
      <w:r w:rsidR="00CF10A6">
        <w:rPr>
          <w:rFonts w:eastAsia="Times New Roman"/>
          <w:color w:val="auto"/>
          <w:lang w:val="en-US" w:eastAsia="en-US"/>
        </w:rPr>
        <w:t>00</w:t>
      </w:r>
      <w:r w:rsidR="00CF10A6" w:rsidRPr="00256ECF">
        <w:rPr>
          <w:rFonts w:eastAsia="Times New Roman"/>
          <w:color w:val="auto"/>
          <w:lang w:val="en-US" w:eastAsia="en-US"/>
        </w:rPr>
        <w:t>)</w:t>
      </w:r>
      <w:r w:rsidR="00CF10A6">
        <w:rPr>
          <w:rFonts w:eastAsia="Times New Roman"/>
          <w:color w:val="auto"/>
          <w:lang w:val="en-US" w:eastAsia="en-US"/>
        </w:rPr>
        <w:t xml:space="preserve"> olarak </w:t>
      </w:r>
      <w:r w:rsidRPr="007943A0">
        <w:rPr>
          <w:rFonts w:eastAsia="Times New Roman"/>
          <w:color w:val="auto"/>
          <w:lang w:val="en-US" w:eastAsia="en-US"/>
        </w:rPr>
        <w:t>hesaplanmıştır.</w:t>
      </w:r>
      <w:r w:rsidR="005020FF">
        <w:rPr>
          <w:rFonts w:eastAsia="Times New Roman"/>
          <w:color w:val="auto"/>
          <w:lang w:val="en-US" w:eastAsia="en-US"/>
        </w:rPr>
        <w:t xml:space="preserve"> </w:t>
      </w:r>
      <w:r w:rsidRPr="007943A0">
        <w:rPr>
          <w:rFonts w:eastAsia="Times New Roman"/>
          <w:color w:val="auto"/>
          <w:lang w:val="en-US" w:eastAsia="en-US"/>
        </w:rPr>
        <w:t>Bileşiklerin inhibisyon türleri yarışmasız olarak belirlenmiştir</w:t>
      </w:r>
      <w:r w:rsidR="002C283F">
        <w:rPr>
          <w:rFonts w:eastAsia="Times New Roman"/>
          <w:color w:val="auto"/>
          <w:lang w:val="en-US" w:eastAsia="en-US"/>
        </w:rPr>
        <w:t xml:space="preserve">. </w:t>
      </w:r>
    </w:p>
    <w:p w14:paraId="0C548A3B" w14:textId="214EF0B1" w:rsidR="00075B82" w:rsidRDefault="007943A0" w:rsidP="0015234E">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Piperidin türevleri ile ilgili olarak farklı bileşiklerin sentezlendiği bir</w:t>
      </w:r>
      <w:r w:rsidR="0058398D">
        <w:rPr>
          <w:rFonts w:eastAsia="Calibri"/>
          <w:color w:val="auto"/>
          <w:lang w:val="en-US" w:eastAsia="en-US"/>
        </w:rPr>
        <w:t xml:space="preserve"> çalışmada, bu bileşiklerin AChE</w:t>
      </w:r>
      <w:r w:rsidRPr="007943A0">
        <w:rPr>
          <w:rFonts w:eastAsia="Calibri"/>
          <w:color w:val="auto"/>
          <w:lang w:val="en-US" w:eastAsia="en-US"/>
        </w:rPr>
        <w:t xml:space="preserve"> ve BChE enzimleri üzerindeki etkileride incelenmiştir. N-benzilpiperidin türevlerinin (IC</w:t>
      </w:r>
      <w:r w:rsidRPr="007943A0">
        <w:rPr>
          <w:rFonts w:eastAsia="Calibri"/>
          <w:color w:val="auto"/>
          <w:vertAlign w:val="subscript"/>
          <w:lang w:val="en-US" w:eastAsia="en-US"/>
        </w:rPr>
        <w:t>50</w:t>
      </w:r>
      <w:r w:rsidRPr="007943A0">
        <w:rPr>
          <w:rFonts w:eastAsia="Calibri"/>
          <w:color w:val="auto"/>
          <w:lang w:val="en-US" w:eastAsia="en-US"/>
        </w:rPr>
        <w:t>: 20-42</w:t>
      </w:r>
      <w:r w:rsidRPr="007943A0">
        <w:rPr>
          <w:rFonts w:ascii="Symbol" w:eastAsia="Calibri" w:hAnsi="Symbol"/>
          <w:color w:val="auto"/>
          <w:lang w:val="en-US" w:eastAsia="en-US"/>
        </w:rPr>
        <w:t></w:t>
      </w:r>
      <w:r w:rsidRPr="007943A0">
        <w:rPr>
          <w:rFonts w:eastAsia="Calibri"/>
          <w:color w:val="auto"/>
          <w:lang w:val="en-US" w:eastAsia="en-US"/>
        </w:rPr>
        <w:t xml:space="preserve">M) AChE'yi N-benzilpirolidin olanlardan daha iyi inhibe ettiği belirlenmiştir. </w:t>
      </w:r>
    </w:p>
    <w:p w14:paraId="5342697D" w14:textId="48A323AF" w:rsidR="007943A0" w:rsidRPr="007943A0" w:rsidRDefault="007943A0" w:rsidP="0015234E">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Ancak bu türlerin BChE üzerinde etkili olmadığı gözlemlenmiştir. 1-benzil-4 -[(ksantin-8-il) -metoksimetil] - piperidin türevleri ise çok daha iyi AChE inhibisyonu sergilemiştir (IC</w:t>
      </w:r>
      <w:r w:rsidRPr="007943A0">
        <w:rPr>
          <w:rFonts w:eastAsia="Calibri"/>
          <w:color w:val="auto"/>
          <w:vertAlign w:val="subscript"/>
          <w:lang w:val="en-US" w:eastAsia="en-US"/>
        </w:rPr>
        <w:t>50</w:t>
      </w:r>
      <w:r w:rsidRPr="007943A0">
        <w:rPr>
          <w:rFonts w:eastAsia="Calibri"/>
          <w:color w:val="auto"/>
          <w:lang w:val="en-US" w:eastAsia="en-US"/>
        </w:rPr>
        <w:t xml:space="preserve">: 0.75 -1.0 </w:t>
      </w:r>
      <w:r w:rsidRPr="007943A0">
        <w:rPr>
          <w:rFonts w:ascii="Symbol" w:eastAsia="Calibri" w:hAnsi="Symbol"/>
          <w:color w:val="auto"/>
          <w:lang w:val="en-US" w:eastAsia="en-US"/>
        </w:rPr>
        <w:t></w:t>
      </w:r>
      <w:r w:rsidRPr="007943A0">
        <w:rPr>
          <w:rFonts w:eastAsia="Calibri"/>
          <w:color w:val="auto"/>
          <w:lang w:val="en-US" w:eastAsia="en-US"/>
        </w:rPr>
        <w:t>M). Bu türevler ayrıca BChE'yi de inhibe ettiğinden (IC</w:t>
      </w:r>
      <w:r w:rsidRPr="007943A0">
        <w:rPr>
          <w:rFonts w:eastAsia="Calibri"/>
          <w:color w:val="auto"/>
          <w:vertAlign w:val="subscript"/>
          <w:lang w:val="en-US" w:eastAsia="en-US"/>
        </w:rPr>
        <w:t>50</w:t>
      </w:r>
      <w:r w:rsidRPr="007943A0">
        <w:rPr>
          <w:rFonts w:eastAsia="Calibri"/>
          <w:color w:val="auto"/>
          <w:lang w:val="en-US" w:eastAsia="en-US"/>
        </w:rPr>
        <w:t xml:space="preserve"> = 0.4–2.5 </w:t>
      </w:r>
      <w:r w:rsidRPr="007943A0">
        <w:rPr>
          <w:rFonts w:ascii="Symbol" w:eastAsia="Calibri" w:hAnsi="Symbol"/>
          <w:color w:val="auto"/>
          <w:lang w:val="en-US" w:eastAsia="en-US"/>
        </w:rPr>
        <w:t></w:t>
      </w:r>
      <w:r w:rsidRPr="007943A0">
        <w:rPr>
          <w:rFonts w:eastAsia="Calibri"/>
          <w:color w:val="auto"/>
          <w:lang w:val="en-US" w:eastAsia="en-US"/>
        </w:rPr>
        <w:t xml:space="preserve">M), Alzheimer hastalığı için yeni tedavilerin araştırılmasında ilginç ikili </w:t>
      </w:r>
      <w:r w:rsidRPr="007943A0">
        <w:rPr>
          <w:rFonts w:eastAsia="Calibri"/>
          <w:color w:val="auto"/>
          <w:lang w:val="en-US" w:eastAsia="en-US"/>
        </w:rPr>
        <w:lastRenderedPageBreak/>
        <w:t>inhibitörler olarak düşünülmüştürler (Rodrıguez-Franco vd., 2005).</w:t>
      </w:r>
    </w:p>
    <w:p w14:paraId="763C377D" w14:textId="36C522FF" w:rsidR="00C66CD9" w:rsidRDefault="007943A0" w:rsidP="0001213F">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Kang ve arkadaşlarının 2013 de yapmış oldukları bir çalışmada yeni bir 9-(1- (sübsitüe-benzil)piperidin-4-il)-2-kloro-9H-purin-6-amin türevleri serisi tasarlanarak sentezlenmiş (Şekil 4.1.) ve bunların AChE inhibe edici a</w:t>
      </w:r>
      <w:r w:rsidR="00113F90">
        <w:rPr>
          <w:rFonts w:eastAsia="Calibri"/>
          <w:color w:val="auto"/>
          <w:lang w:val="en-US" w:eastAsia="en-US"/>
        </w:rPr>
        <w:t>ktiviteleri incelenmiştir.</w:t>
      </w:r>
    </w:p>
    <w:p w14:paraId="43DC70B2" w14:textId="77777777" w:rsidR="0001213F" w:rsidRDefault="0001213F" w:rsidP="0001213F">
      <w:pPr>
        <w:widowControl w:val="0"/>
        <w:spacing w:after="0" w:line="240" w:lineRule="auto"/>
        <w:ind w:firstLine="567"/>
        <w:jc w:val="both"/>
        <w:rPr>
          <w:rFonts w:eastAsia="Calibri"/>
          <w:color w:val="auto"/>
          <w:lang w:val="en-US" w:eastAsia="en-US"/>
        </w:rPr>
      </w:pPr>
    </w:p>
    <w:p w14:paraId="60B2B10E" w14:textId="77777777" w:rsidR="0001213F" w:rsidRPr="007943A0" w:rsidRDefault="0001213F" w:rsidP="0001213F">
      <w:pPr>
        <w:widowControl w:val="0"/>
        <w:spacing w:after="0" w:line="240" w:lineRule="auto"/>
        <w:ind w:firstLine="567"/>
        <w:jc w:val="both"/>
        <w:rPr>
          <w:rFonts w:eastAsia="Calibri"/>
          <w:color w:val="auto"/>
          <w:lang w:val="en-US" w:eastAsia="en-US"/>
        </w:rPr>
      </w:pPr>
    </w:p>
    <w:p w14:paraId="03196F82" w14:textId="65905F68" w:rsidR="007943A0" w:rsidRPr="007943A0" w:rsidRDefault="007C2B0F" w:rsidP="007943A0">
      <w:pPr>
        <w:widowControl w:val="0"/>
        <w:spacing w:before="120" w:after="120" w:line="360" w:lineRule="auto"/>
        <w:ind w:firstLine="567"/>
        <w:jc w:val="center"/>
        <w:rPr>
          <w:rFonts w:eastAsia="Calibri"/>
          <w:color w:val="auto"/>
          <w:lang w:val="en-US" w:eastAsia="en-US"/>
        </w:rPr>
      </w:pPr>
      <w:r>
        <w:rPr>
          <w:rFonts w:eastAsia="Calibri"/>
          <w:noProof/>
          <w:color w:val="auto"/>
        </w:rPr>
        <w:drawing>
          <wp:inline distT="0" distB="0" distL="0" distR="0" wp14:anchorId="420C7A50" wp14:editId="58D95286">
            <wp:extent cx="3290047" cy="851628"/>
            <wp:effectExtent l="0" t="0" r="5715" b="5715"/>
            <wp:docPr id="6" name="Resim 6" descr="C:\Users\beyza\Desktop\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eyza\Desktop\aa.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04209" cy="855294"/>
                    </a:xfrm>
                    <a:prstGeom prst="rect">
                      <a:avLst/>
                    </a:prstGeom>
                    <a:noFill/>
                    <a:ln>
                      <a:noFill/>
                    </a:ln>
                  </pic:spPr>
                </pic:pic>
              </a:graphicData>
            </a:graphic>
          </wp:inline>
        </w:drawing>
      </w:r>
    </w:p>
    <w:p w14:paraId="37CAA3A8" w14:textId="7F29A7EC" w:rsidR="005B72C0" w:rsidRDefault="003952BC" w:rsidP="00C66CD9">
      <w:pPr>
        <w:widowControl w:val="0"/>
        <w:spacing w:after="0" w:line="240" w:lineRule="auto"/>
        <w:ind w:left="3459" w:right="1701" w:hanging="2892"/>
        <w:rPr>
          <w:rFonts w:eastAsia="Calibri"/>
          <w:color w:val="auto"/>
          <w:lang w:val="en-US" w:eastAsia="en-US"/>
        </w:rPr>
      </w:pPr>
      <w:r>
        <w:rPr>
          <w:rFonts w:eastAsia="Calibri"/>
          <w:color w:val="auto"/>
          <w:lang w:val="en-US" w:eastAsia="en-US"/>
        </w:rPr>
        <w:t xml:space="preserve">                  </w:t>
      </w:r>
      <w:r w:rsidR="007662FA">
        <w:rPr>
          <w:rFonts w:eastAsia="Calibri"/>
          <w:color w:val="auto"/>
          <w:lang w:val="en-US" w:eastAsia="en-US"/>
        </w:rPr>
        <w:t xml:space="preserve">              </w:t>
      </w:r>
      <w:r w:rsidR="00746C18">
        <w:rPr>
          <w:rFonts w:eastAsia="Calibri"/>
          <w:color w:val="auto"/>
          <w:lang w:val="en-US" w:eastAsia="en-US"/>
        </w:rPr>
        <w:t xml:space="preserve">Şekil </w:t>
      </w:r>
      <w:r w:rsidR="007943A0" w:rsidRPr="00C425E6">
        <w:rPr>
          <w:rFonts w:eastAsia="Calibri"/>
          <w:color w:val="auto"/>
          <w:lang w:val="en-US" w:eastAsia="en-US"/>
        </w:rPr>
        <w:t>4.1.</w:t>
      </w:r>
      <w:r w:rsidR="00746C18">
        <w:rPr>
          <w:rFonts w:eastAsia="Calibri"/>
          <w:color w:val="auto"/>
          <w:lang w:val="en-US" w:eastAsia="en-US"/>
        </w:rPr>
        <w:t xml:space="preserve"> </w:t>
      </w:r>
      <w:r w:rsidR="007943A0" w:rsidRPr="007943A0">
        <w:rPr>
          <w:rFonts w:eastAsia="Calibri"/>
          <w:color w:val="auto"/>
          <w:lang w:val="en-US" w:eastAsia="en-US"/>
        </w:rPr>
        <w:t>Sentezlenen 9-(1-(sübsitüe-benzil)</w:t>
      </w:r>
      <w:r w:rsidR="007662FA">
        <w:rPr>
          <w:rFonts w:eastAsia="Calibri"/>
          <w:color w:val="auto"/>
          <w:lang w:val="en-US" w:eastAsia="en-US"/>
        </w:rPr>
        <w:t xml:space="preserve"> </w:t>
      </w:r>
      <w:r w:rsidR="007943A0" w:rsidRPr="007943A0">
        <w:rPr>
          <w:rFonts w:eastAsia="Calibri"/>
          <w:color w:val="auto"/>
          <w:lang w:val="en-US" w:eastAsia="en-US"/>
        </w:rPr>
        <w:t>piperidin-4-il)-2-kloro-9H-purin-6-amin türevleri için gene</w:t>
      </w:r>
      <w:r w:rsidR="00113F90">
        <w:rPr>
          <w:rFonts w:eastAsia="Calibri"/>
          <w:color w:val="auto"/>
          <w:lang w:val="en-US" w:eastAsia="en-US"/>
        </w:rPr>
        <w:t>l kimyasal yapı (Kang vd. 2013)</w:t>
      </w:r>
    </w:p>
    <w:p w14:paraId="7C1C1020" w14:textId="77777777" w:rsidR="00C66CD9" w:rsidRDefault="00C66CD9" w:rsidP="00C66CD9">
      <w:pPr>
        <w:widowControl w:val="0"/>
        <w:spacing w:after="0" w:line="240" w:lineRule="auto"/>
        <w:ind w:left="3459" w:right="1701" w:hanging="2892"/>
        <w:rPr>
          <w:rFonts w:eastAsia="Calibri"/>
          <w:color w:val="auto"/>
          <w:lang w:val="en-US" w:eastAsia="en-US"/>
        </w:rPr>
      </w:pPr>
    </w:p>
    <w:p w14:paraId="5BA3A485" w14:textId="77777777" w:rsidR="00C66CD9" w:rsidRPr="007943A0" w:rsidRDefault="00C66CD9" w:rsidP="00C66CD9">
      <w:pPr>
        <w:widowControl w:val="0"/>
        <w:spacing w:after="0" w:line="240" w:lineRule="auto"/>
        <w:ind w:left="3459" w:right="1701" w:hanging="2892"/>
        <w:rPr>
          <w:rFonts w:eastAsia="Calibri"/>
          <w:color w:val="auto"/>
          <w:lang w:val="en-US" w:eastAsia="en-US"/>
        </w:rPr>
      </w:pPr>
    </w:p>
    <w:p w14:paraId="63A77905" w14:textId="0D23959F" w:rsidR="007943A0" w:rsidRPr="007943A0" w:rsidRDefault="007943A0" w:rsidP="0015234E">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Bu sonuçlara göre 26 bileşikten genel yapıda aril grubu olarak 3,4-dimetoksifenil bağlı 13 bileşikten 100</w:t>
      </w:r>
      <w:r w:rsidRPr="007943A0">
        <w:rPr>
          <w:rFonts w:ascii="Symbol" w:eastAsia="Calibri" w:hAnsi="Symbol"/>
          <w:color w:val="auto"/>
          <w:lang w:val="en-US" w:eastAsia="en-US"/>
        </w:rPr>
        <w:t></w:t>
      </w:r>
      <w:r w:rsidRPr="007943A0">
        <w:rPr>
          <w:rFonts w:eastAsia="Calibri"/>
          <w:color w:val="auto"/>
          <w:lang w:val="en-US" w:eastAsia="en-US"/>
        </w:rPr>
        <w:t>M konsantrasyon</w:t>
      </w:r>
      <w:r w:rsidR="005020FF">
        <w:rPr>
          <w:rFonts w:eastAsia="Calibri"/>
          <w:color w:val="auto"/>
          <w:lang w:val="en-US" w:eastAsia="en-US"/>
        </w:rPr>
        <w:t xml:space="preserve">da R grubuna benzil (%14.57) ve 3-klorobenzil (%11,03) </w:t>
      </w:r>
      <w:r w:rsidRPr="007943A0">
        <w:rPr>
          <w:rFonts w:eastAsia="Calibri"/>
          <w:color w:val="auto"/>
          <w:lang w:val="en-US" w:eastAsia="en-US"/>
        </w:rPr>
        <w:t>grupları bağlı olan bileşiklerin diğerlerine göre daha yüksek inhibisyon yüzdelerine sahip olduğu görülmüştür. Aril grubu olarak benzo[d][1,3] dioksol-5-il bağlı 13 bileşikten ise  R grubuna 3-siyano</w:t>
      </w:r>
      <w:r w:rsidR="005020FF">
        <w:rPr>
          <w:rFonts w:eastAsia="Calibri"/>
          <w:color w:val="auto"/>
          <w:lang w:val="en-US" w:eastAsia="en-US"/>
        </w:rPr>
        <w:t>benzil (%15.42)</w:t>
      </w:r>
      <w:r w:rsidRPr="007943A0">
        <w:rPr>
          <w:rFonts w:eastAsia="Calibri"/>
          <w:color w:val="auto"/>
          <w:lang w:val="en-US" w:eastAsia="en-US"/>
        </w:rPr>
        <w:t xml:space="preserve"> ve 4-metoksibenzil (%11.21) bağlı bileşiklerin diğerlerine göre daha iyi inhibisyon etkisi gösterdiği gözlemlenmiştir. Bu çalışmada standart olarak kullanılan donepezil ise aynı konsantrasyonda %80.07 inhibisyon etkisi göstermiştir. Çalışmada bu dört bileşiğin, 100</w:t>
      </w:r>
      <w:r w:rsidRPr="007943A0">
        <w:rPr>
          <w:rFonts w:ascii="Symbol" w:eastAsia="Calibri" w:hAnsi="Symbol"/>
          <w:color w:val="auto"/>
          <w:lang w:val="en-US" w:eastAsia="en-US"/>
        </w:rPr>
        <w:t></w:t>
      </w:r>
      <w:r w:rsidRPr="007943A0">
        <w:rPr>
          <w:rFonts w:ascii="Symbol" w:eastAsia="Calibri" w:hAnsi="Symbol"/>
          <w:color w:val="auto"/>
          <w:lang w:val="en-US" w:eastAsia="en-US"/>
        </w:rPr>
        <w:t></w:t>
      </w:r>
      <w:r w:rsidRPr="007943A0">
        <w:rPr>
          <w:rFonts w:eastAsia="Calibri"/>
          <w:color w:val="auto"/>
          <w:lang w:val="en-US" w:eastAsia="en-US"/>
        </w:rPr>
        <w:t>M konsantrasyonda % 10'dan fazla inhibitör yüzdesi ile AChE'ye karşı orta düzeyde aktivite gösterdiği belirtilmiştir (Kang vd. 2013).</w:t>
      </w:r>
    </w:p>
    <w:p w14:paraId="788B7EBB" w14:textId="2FEB56C3" w:rsidR="00513499" w:rsidRDefault="007943A0" w:rsidP="00C66CD9">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 xml:space="preserve">Bir başka çalışmada </w:t>
      </w:r>
      <w:r w:rsidR="005B58A7">
        <w:rPr>
          <w:rFonts w:eastAsia="Calibri"/>
          <w:color w:val="auto"/>
          <w:lang w:val="en-US" w:eastAsia="en-US"/>
        </w:rPr>
        <w:t xml:space="preserve">sentezlenen 18 piperidin türevinin </w:t>
      </w:r>
      <w:r w:rsidRPr="007943A0">
        <w:rPr>
          <w:rFonts w:eastAsia="Calibri"/>
          <w:color w:val="auto"/>
          <w:lang w:val="en-US" w:eastAsia="en-US"/>
        </w:rPr>
        <w:t>(Şekil 4.2.) asetilkolinesteraz ve bütirilkolinesteraz enzimleri üzerindeki inhibisyon etkileri incelenmiştir. Asetilkolinesteraz enzimi için IC</w:t>
      </w:r>
      <w:r w:rsidRPr="007943A0">
        <w:rPr>
          <w:rFonts w:eastAsia="Calibri"/>
          <w:color w:val="auto"/>
          <w:vertAlign w:val="subscript"/>
          <w:lang w:val="en-US" w:eastAsia="en-US"/>
        </w:rPr>
        <w:t>50</w:t>
      </w:r>
      <w:r w:rsidRPr="007943A0">
        <w:rPr>
          <w:rFonts w:eastAsia="Calibri"/>
          <w:color w:val="auto"/>
          <w:lang w:val="en-US" w:eastAsia="en-US"/>
        </w:rPr>
        <w:t xml:space="preserve"> değerlerinin (6.62-41.28 </w:t>
      </w:r>
      <w:r w:rsidRPr="007943A0">
        <w:rPr>
          <w:rFonts w:ascii="Symbol" w:eastAsia="Calibri" w:hAnsi="Symbol"/>
          <w:color w:val="auto"/>
          <w:lang w:val="en-US" w:eastAsia="en-US"/>
        </w:rPr>
        <w:t></w:t>
      </w:r>
      <w:r w:rsidRPr="007943A0">
        <w:rPr>
          <w:rFonts w:eastAsia="Calibri"/>
          <w:color w:val="auto"/>
          <w:lang w:val="en-US" w:eastAsia="en-US"/>
        </w:rPr>
        <w:t xml:space="preserve">M) bütirilkolinesteraz enzimi için ise (13.78-53.36 </w:t>
      </w:r>
      <w:r w:rsidRPr="007943A0">
        <w:rPr>
          <w:rFonts w:ascii="Symbol" w:eastAsia="Calibri" w:hAnsi="Symbol"/>
          <w:color w:val="auto"/>
          <w:lang w:val="en-US" w:eastAsia="en-US"/>
        </w:rPr>
        <w:t></w:t>
      </w:r>
      <w:r w:rsidRPr="007943A0">
        <w:rPr>
          <w:rFonts w:eastAsia="Calibri"/>
          <w:color w:val="auto"/>
          <w:lang w:val="en-US" w:eastAsia="en-US"/>
        </w:rPr>
        <w:t>M) arasında değiştiği gözlemlenmiştir. 2-(1-((4-florofenil) sülfonil) piperidin-4-il) -3 - ((1-metil-1,2,5,6-tetrahidropiridin-3-il) metil) tiazolidin-4-on bileşiğinin her iki enzim üzerinde en etkin inhibitör olduğu görülmüştür (IC</w:t>
      </w:r>
      <w:r w:rsidRPr="007943A0">
        <w:rPr>
          <w:rFonts w:eastAsia="Calibri"/>
          <w:color w:val="auto"/>
          <w:vertAlign w:val="subscript"/>
          <w:lang w:val="en-US" w:eastAsia="en-US"/>
        </w:rPr>
        <w:t>50AChE</w:t>
      </w:r>
      <w:r w:rsidRPr="007943A0">
        <w:rPr>
          <w:rFonts w:eastAsia="Calibri"/>
          <w:color w:val="auto"/>
          <w:lang w:val="en-US" w:eastAsia="en-US"/>
        </w:rPr>
        <w:t>:6.62±0.41; IC</w:t>
      </w:r>
      <w:r w:rsidRPr="007943A0">
        <w:rPr>
          <w:rFonts w:eastAsia="Calibri"/>
          <w:color w:val="auto"/>
          <w:vertAlign w:val="subscript"/>
          <w:lang w:val="en-US" w:eastAsia="en-US"/>
        </w:rPr>
        <w:t>50BChE</w:t>
      </w:r>
      <w:r w:rsidRPr="007943A0">
        <w:rPr>
          <w:rFonts w:eastAsia="Calibri"/>
          <w:color w:val="auto"/>
          <w:lang w:val="en-US" w:eastAsia="en-US"/>
        </w:rPr>
        <w:t>: 13.78±0.48). Standart olarak kullanılan neostigminin IC</w:t>
      </w:r>
      <w:r w:rsidRPr="007943A0">
        <w:rPr>
          <w:rFonts w:eastAsia="Calibri"/>
          <w:color w:val="auto"/>
          <w:vertAlign w:val="subscript"/>
          <w:lang w:val="en-US" w:eastAsia="en-US"/>
        </w:rPr>
        <w:t>50</w:t>
      </w:r>
      <w:r w:rsidRPr="007943A0">
        <w:rPr>
          <w:rFonts w:eastAsia="Calibri"/>
          <w:color w:val="auto"/>
          <w:lang w:val="en-US" w:eastAsia="en-US"/>
        </w:rPr>
        <w:t xml:space="preserve"> değerleri ise sırasıyla AChE için 2.05 ±0.07 BChE için ise 3.64 ±0.19 olarak hesaplanmıştır.</w:t>
      </w:r>
    </w:p>
    <w:p w14:paraId="0AF1DB4D" w14:textId="77777777" w:rsidR="00C66CD9" w:rsidRDefault="00C66CD9" w:rsidP="00C66CD9">
      <w:pPr>
        <w:widowControl w:val="0"/>
        <w:spacing w:after="0" w:line="240" w:lineRule="auto"/>
        <w:ind w:firstLine="567"/>
        <w:jc w:val="both"/>
        <w:rPr>
          <w:rFonts w:eastAsia="Calibri"/>
          <w:color w:val="auto"/>
          <w:lang w:val="en-US" w:eastAsia="en-US"/>
        </w:rPr>
      </w:pPr>
    </w:p>
    <w:p w14:paraId="7B76BE5C" w14:textId="77777777" w:rsidR="00C66CD9" w:rsidRPr="007943A0" w:rsidRDefault="00C66CD9" w:rsidP="00C66CD9">
      <w:pPr>
        <w:widowControl w:val="0"/>
        <w:spacing w:after="0" w:line="240" w:lineRule="auto"/>
        <w:ind w:firstLine="567"/>
        <w:jc w:val="both"/>
        <w:rPr>
          <w:rFonts w:eastAsia="Calibri"/>
          <w:color w:val="auto"/>
          <w:lang w:val="en-US" w:eastAsia="en-US"/>
        </w:rPr>
      </w:pPr>
    </w:p>
    <w:p w14:paraId="1DE1B1BB" w14:textId="39BB4686" w:rsidR="007943A0" w:rsidRPr="007943A0" w:rsidRDefault="008D51F5" w:rsidP="00113F90">
      <w:pPr>
        <w:widowControl w:val="0"/>
        <w:spacing w:after="0" w:line="240" w:lineRule="auto"/>
        <w:ind w:firstLine="567"/>
        <w:jc w:val="center"/>
        <w:rPr>
          <w:rFonts w:eastAsia="Calibri"/>
          <w:color w:val="auto"/>
          <w:lang w:val="en-US" w:eastAsia="en-US"/>
        </w:rPr>
      </w:pPr>
      <w:r>
        <w:rPr>
          <w:rFonts w:eastAsia="Calibri"/>
          <w:color w:val="auto"/>
          <w:lang w:val="en-US" w:eastAsia="en-US"/>
        </w:rPr>
        <w:t xml:space="preserve">        </w:t>
      </w:r>
      <w:r w:rsidR="007943A0" w:rsidRPr="007943A0">
        <w:rPr>
          <w:rFonts w:eastAsia="Calibri"/>
          <w:noProof/>
          <w:color w:val="auto"/>
        </w:rPr>
        <w:drawing>
          <wp:inline distT="0" distB="0" distL="0" distR="0" wp14:anchorId="5671B0F8" wp14:editId="2D17A022">
            <wp:extent cx="1958453" cy="1801505"/>
            <wp:effectExtent l="0" t="0" r="3810" b="8255"/>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58453" cy="1801505"/>
                    </a:xfrm>
                    <a:prstGeom prst="rect">
                      <a:avLst/>
                    </a:prstGeom>
                    <a:noFill/>
                    <a:ln>
                      <a:noFill/>
                    </a:ln>
                  </pic:spPr>
                </pic:pic>
              </a:graphicData>
            </a:graphic>
          </wp:inline>
        </w:drawing>
      </w:r>
    </w:p>
    <w:p w14:paraId="2C38798C" w14:textId="418090C6" w:rsidR="007943A0" w:rsidRDefault="003952BC" w:rsidP="00113F90">
      <w:pPr>
        <w:widowControl w:val="0"/>
        <w:spacing w:after="0" w:line="240" w:lineRule="auto"/>
        <w:ind w:left="2948" w:right="1276" w:hanging="2948"/>
        <w:jc w:val="both"/>
        <w:rPr>
          <w:rFonts w:eastAsia="Calibri"/>
          <w:color w:val="auto"/>
          <w:lang w:val="en-US" w:eastAsia="en-US"/>
        </w:rPr>
      </w:pPr>
      <w:r>
        <w:rPr>
          <w:rFonts w:eastAsia="Calibri"/>
          <w:color w:val="auto"/>
          <w:lang w:val="en-US" w:eastAsia="en-US"/>
        </w:rPr>
        <w:t xml:space="preserve">                  </w:t>
      </w:r>
      <w:r w:rsidR="008D51F5">
        <w:rPr>
          <w:rFonts w:eastAsia="Calibri"/>
          <w:color w:val="auto"/>
          <w:lang w:val="en-US" w:eastAsia="en-US"/>
        </w:rPr>
        <w:t xml:space="preserve">            </w:t>
      </w:r>
      <w:r>
        <w:rPr>
          <w:rFonts w:eastAsia="Calibri"/>
          <w:color w:val="auto"/>
          <w:lang w:val="en-US" w:eastAsia="en-US"/>
        </w:rPr>
        <w:t xml:space="preserve"> </w:t>
      </w:r>
      <w:r w:rsidR="007943A0" w:rsidRPr="00C425E6">
        <w:rPr>
          <w:rFonts w:eastAsia="Calibri"/>
          <w:color w:val="auto"/>
          <w:lang w:val="en-US" w:eastAsia="en-US"/>
        </w:rPr>
        <w:t>Şekil 4.2.</w:t>
      </w:r>
      <w:r>
        <w:rPr>
          <w:rFonts w:eastAsia="Calibri"/>
          <w:color w:val="auto"/>
          <w:lang w:val="en-US" w:eastAsia="en-US"/>
        </w:rPr>
        <w:t xml:space="preserve"> </w:t>
      </w:r>
      <w:r w:rsidR="007943A0" w:rsidRPr="007943A0">
        <w:rPr>
          <w:rFonts w:eastAsia="Calibri"/>
          <w:color w:val="auto"/>
          <w:lang w:val="en-US" w:eastAsia="en-US"/>
        </w:rPr>
        <w:t>2-(1-((4-florofenil) sülfonil)piperidin-4-il)-3 - ((1-metil-1,2,5,6-tetrahidropiridin-3-il) metil) tiazolidin-4-on bileşiği k</w:t>
      </w:r>
      <w:r w:rsidR="00113F90">
        <w:rPr>
          <w:rFonts w:eastAsia="Calibri"/>
          <w:color w:val="auto"/>
          <w:lang w:val="en-US" w:eastAsia="en-US"/>
        </w:rPr>
        <w:t>imyasal yapısı (Kumar vd. 2015)</w:t>
      </w:r>
    </w:p>
    <w:p w14:paraId="7C3ED517" w14:textId="77777777" w:rsidR="00113F90" w:rsidRDefault="00113F90" w:rsidP="00113F90">
      <w:pPr>
        <w:widowControl w:val="0"/>
        <w:spacing w:after="0" w:line="240" w:lineRule="auto"/>
        <w:ind w:left="2948" w:right="1276" w:hanging="2948"/>
        <w:jc w:val="both"/>
        <w:rPr>
          <w:rFonts w:eastAsia="Calibri"/>
          <w:color w:val="auto"/>
          <w:lang w:val="en-US" w:eastAsia="en-US"/>
        </w:rPr>
      </w:pPr>
    </w:p>
    <w:p w14:paraId="511E7E6D" w14:textId="77777777" w:rsidR="00113F90" w:rsidRPr="007943A0" w:rsidRDefault="00113F90" w:rsidP="00113F90">
      <w:pPr>
        <w:widowControl w:val="0"/>
        <w:spacing w:after="0" w:line="240" w:lineRule="auto"/>
        <w:ind w:left="2948" w:right="1276" w:hanging="2948"/>
        <w:jc w:val="both"/>
        <w:rPr>
          <w:rFonts w:eastAsia="Calibri"/>
          <w:color w:val="auto"/>
          <w:lang w:val="en-US" w:eastAsia="en-US"/>
        </w:rPr>
      </w:pPr>
    </w:p>
    <w:p w14:paraId="0D9BB76B" w14:textId="3B8D7494" w:rsidR="007943A0" w:rsidRPr="007943A0" w:rsidRDefault="007943A0" w:rsidP="00C66CD9">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Bu bileşik diğer bileşiklerle ve standartla kıyaslandığında benzen sülfonil grubunun para pozisyonunda bulunan flor atomunun, kolinesteraz aktivitesi üzerinde önemli bir etkiye sahip olabileceği belirtilmiştir. Aksine benzil bağlı bileşikler, benzen sülfonil ve benzoil türevleri ile karşılaştırıldığında hem AChE hem de BChE inhibisyonuna karşı zayıf aktiv</w:t>
      </w:r>
      <w:r w:rsidR="00C66CD9">
        <w:rPr>
          <w:rFonts w:eastAsia="Calibri"/>
          <w:color w:val="auto"/>
          <w:lang w:val="en-US" w:eastAsia="en-US"/>
        </w:rPr>
        <w:t xml:space="preserve">iteye sahip olduğu görülmüştür. </w:t>
      </w:r>
      <w:r w:rsidRPr="007943A0">
        <w:rPr>
          <w:rFonts w:eastAsia="Calibri"/>
          <w:color w:val="auto"/>
          <w:lang w:val="en-US" w:eastAsia="en-US"/>
        </w:rPr>
        <w:t>Bu durumun, piperidin ve aril substitüsyonu arasında karbonil veya sülfonil grubunun varlığının AChE / BChE inhibisyonunda önemli bir rol oynadığını gösterdiğide ayrıca belirtilmiştir. Çalışmada bi</w:t>
      </w:r>
      <w:r w:rsidR="005020FF">
        <w:rPr>
          <w:rFonts w:eastAsia="Calibri"/>
          <w:color w:val="auto"/>
          <w:lang w:val="en-US" w:eastAsia="en-US"/>
        </w:rPr>
        <w:t xml:space="preserve">leşiğe bağlı olan aril sülfonil </w:t>
      </w:r>
      <w:r w:rsidRPr="007943A0">
        <w:rPr>
          <w:rFonts w:eastAsia="Calibri"/>
          <w:color w:val="auto"/>
          <w:lang w:val="en-US" w:eastAsia="en-US"/>
        </w:rPr>
        <w:t>/ benzoil grubuna sahip bileşikler arasında, farklı bileşikler, f</w:t>
      </w:r>
      <w:r w:rsidR="005020FF">
        <w:rPr>
          <w:rFonts w:eastAsia="Calibri"/>
          <w:color w:val="auto"/>
          <w:lang w:val="en-US" w:eastAsia="en-US"/>
        </w:rPr>
        <w:t xml:space="preserve">enil halkasına bağlı atomlara </w:t>
      </w:r>
      <w:r w:rsidRPr="007943A0">
        <w:rPr>
          <w:rFonts w:eastAsia="Calibri"/>
          <w:color w:val="auto"/>
          <w:lang w:val="en-US" w:eastAsia="en-US"/>
        </w:rPr>
        <w:t>/ gruplara bağlı olarak farklı aktivite aralığı sergilemiş</w:t>
      </w:r>
      <w:r w:rsidR="005020FF">
        <w:rPr>
          <w:rFonts w:eastAsia="Calibri"/>
          <w:color w:val="auto"/>
          <w:lang w:val="en-US" w:eastAsia="en-US"/>
        </w:rPr>
        <w:t xml:space="preserve">lerdir </w:t>
      </w:r>
      <w:r w:rsidRPr="007943A0">
        <w:rPr>
          <w:rFonts w:eastAsia="Calibri"/>
          <w:color w:val="auto"/>
          <w:lang w:val="en-US" w:eastAsia="en-US"/>
        </w:rPr>
        <w:t>(Kumar vd. 2015).</w:t>
      </w:r>
    </w:p>
    <w:p w14:paraId="7681700C" w14:textId="3570CA82" w:rsidR="00513499" w:rsidRDefault="007943A0" w:rsidP="00513499">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Bazı piperidinonların sentezi ve kolinesteraz enzimlerini belirlemek amacıyla yapılan 8 bileşiğin sentezlendiği (Şekil 4.3.) başka bir çalışmada ise galantamin ve rivastigmin standart olarak kullanılmıştır.</w:t>
      </w:r>
    </w:p>
    <w:p w14:paraId="4432A7C5" w14:textId="77777777" w:rsidR="00513499" w:rsidRDefault="00513499" w:rsidP="00513499">
      <w:pPr>
        <w:widowControl w:val="0"/>
        <w:spacing w:after="0" w:line="240" w:lineRule="auto"/>
        <w:ind w:firstLine="567"/>
        <w:jc w:val="both"/>
        <w:rPr>
          <w:rFonts w:eastAsia="Calibri"/>
          <w:color w:val="auto"/>
          <w:lang w:val="en-US" w:eastAsia="en-US"/>
        </w:rPr>
      </w:pPr>
    </w:p>
    <w:p w14:paraId="6471C205" w14:textId="77777777" w:rsidR="00513499" w:rsidRPr="007943A0" w:rsidRDefault="00513499" w:rsidP="00513499">
      <w:pPr>
        <w:widowControl w:val="0"/>
        <w:spacing w:after="0" w:line="240" w:lineRule="auto"/>
        <w:ind w:firstLine="567"/>
        <w:jc w:val="both"/>
        <w:rPr>
          <w:rFonts w:eastAsia="Calibri"/>
          <w:color w:val="auto"/>
          <w:lang w:val="en-US" w:eastAsia="en-US"/>
        </w:rPr>
      </w:pPr>
    </w:p>
    <w:p w14:paraId="2DD7502B" w14:textId="77777777" w:rsidR="006B17A0" w:rsidRDefault="007943A0" w:rsidP="006B17A0">
      <w:pPr>
        <w:widowControl w:val="0"/>
        <w:spacing w:after="0" w:line="240" w:lineRule="auto"/>
        <w:jc w:val="center"/>
        <w:rPr>
          <w:rFonts w:eastAsia="Calibri"/>
          <w:color w:val="auto"/>
          <w:lang w:val="en-US" w:eastAsia="en-US"/>
        </w:rPr>
      </w:pPr>
      <w:r w:rsidRPr="007943A0">
        <w:rPr>
          <w:rFonts w:eastAsia="Calibri"/>
          <w:noProof/>
          <w:color w:val="auto"/>
        </w:rPr>
        <w:drawing>
          <wp:inline distT="0" distB="0" distL="0" distR="0" wp14:anchorId="08513A5E" wp14:editId="04C4DCFE">
            <wp:extent cx="3821373" cy="1271859"/>
            <wp:effectExtent l="0" t="0" r="8255" b="5080"/>
            <wp:docPr id="74"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21102" cy="1271769"/>
                    </a:xfrm>
                    <a:prstGeom prst="rect">
                      <a:avLst/>
                    </a:prstGeom>
                    <a:noFill/>
                    <a:ln>
                      <a:noFill/>
                    </a:ln>
                  </pic:spPr>
                </pic:pic>
              </a:graphicData>
            </a:graphic>
          </wp:inline>
        </w:drawing>
      </w:r>
    </w:p>
    <w:p w14:paraId="6FB18E72" w14:textId="77777777" w:rsidR="006B17A0" w:rsidRDefault="006B17A0" w:rsidP="006B17A0">
      <w:pPr>
        <w:widowControl w:val="0"/>
        <w:spacing w:after="0" w:line="240" w:lineRule="auto"/>
        <w:jc w:val="center"/>
        <w:rPr>
          <w:rFonts w:eastAsia="Calibri"/>
          <w:color w:val="auto"/>
          <w:lang w:val="en-US" w:eastAsia="en-US"/>
        </w:rPr>
      </w:pPr>
    </w:p>
    <w:p w14:paraId="713DB8CC" w14:textId="382B498E" w:rsidR="007943A0" w:rsidRDefault="007943A0" w:rsidP="006B17A0">
      <w:pPr>
        <w:widowControl w:val="0"/>
        <w:spacing w:after="0" w:line="240" w:lineRule="auto"/>
        <w:jc w:val="center"/>
        <w:rPr>
          <w:rFonts w:eastAsia="Calibri"/>
          <w:color w:val="auto"/>
          <w:lang w:val="en-US" w:eastAsia="en-US"/>
        </w:rPr>
      </w:pPr>
      <w:r w:rsidRPr="00C425E6">
        <w:rPr>
          <w:rFonts w:eastAsia="Calibri"/>
          <w:color w:val="auto"/>
          <w:lang w:val="en-US" w:eastAsia="en-US"/>
        </w:rPr>
        <w:t>Şekil 4.3.</w:t>
      </w:r>
      <w:r w:rsidRPr="007943A0">
        <w:rPr>
          <w:rFonts w:eastAsia="Calibri"/>
          <w:color w:val="auto"/>
          <w:lang w:val="en-US" w:eastAsia="en-US"/>
        </w:rPr>
        <w:t xml:space="preserve"> Piperidinonların s</w:t>
      </w:r>
      <w:r w:rsidR="00113F90">
        <w:rPr>
          <w:rFonts w:eastAsia="Calibri"/>
          <w:color w:val="auto"/>
          <w:lang w:val="en-US" w:eastAsia="en-US"/>
        </w:rPr>
        <w:t>entez reaksiyonu (Parlar, 2019)</w:t>
      </w:r>
    </w:p>
    <w:p w14:paraId="551DF4BB" w14:textId="77777777" w:rsidR="00113F90" w:rsidRDefault="00113F90" w:rsidP="00113F90">
      <w:pPr>
        <w:widowControl w:val="0"/>
        <w:spacing w:after="0" w:line="240" w:lineRule="auto"/>
        <w:jc w:val="center"/>
        <w:rPr>
          <w:rFonts w:eastAsia="Calibri"/>
          <w:color w:val="auto"/>
          <w:lang w:val="en-US" w:eastAsia="en-US"/>
        </w:rPr>
      </w:pPr>
    </w:p>
    <w:p w14:paraId="67E75E8C" w14:textId="0A1E896A" w:rsidR="007943A0" w:rsidRPr="007943A0" w:rsidRDefault="007943A0" w:rsidP="0015234E">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Çalışmada metil, metoksi, nitro, flor, klor, metil, nitrit ve brom gibi farklı gruplar, her iki benziliden halkasının para pozisyonlarına takılarak sentezlenmiştir. Tüm bileşiklerin AChE sonuçlarına göre 12.55-23.75 μM, BChE sonuçlarına göre 17.28-59.96</w:t>
      </w:r>
      <w:r w:rsidR="00301C1B" w:rsidRPr="00301C1B">
        <w:rPr>
          <w:rFonts w:eastAsia="Calibri"/>
          <w:color w:val="auto"/>
          <w:lang w:val="en-US" w:eastAsia="en-US"/>
        </w:rPr>
        <w:t xml:space="preserve"> </w:t>
      </w:r>
      <w:r w:rsidR="00301C1B" w:rsidRPr="007943A0">
        <w:rPr>
          <w:rFonts w:eastAsia="Calibri"/>
          <w:color w:val="auto"/>
          <w:lang w:val="en-US" w:eastAsia="en-US"/>
        </w:rPr>
        <w:t>μM</w:t>
      </w:r>
      <w:r w:rsidRPr="007943A0">
        <w:rPr>
          <w:rFonts w:eastAsia="Calibri"/>
          <w:color w:val="auto"/>
          <w:lang w:val="en-US" w:eastAsia="en-US"/>
        </w:rPr>
        <w:t xml:space="preserve"> aralığında inhibe edici aktiviteye sahip oldukları belirlenmiştir. R grubu olarak nitro grubu taşıyan bileşiğin standart ilaç rivastigminine (IC</w:t>
      </w:r>
      <w:r w:rsidRPr="007943A0">
        <w:rPr>
          <w:rFonts w:eastAsia="Calibri"/>
          <w:color w:val="auto"/>
          <w:vertAlign w:val="subscript"/>
          <w:lang w:val="en-US" w:eastAsia="en-US"/>
        </w:rPr>
        <w:t xml:space="preserve">50 </w:t>
      </w:r>
      <w:r w:rsidRPr="007943A0">
        <w:rPr>
          <w:rFonts w:eastAsia="Calibri"/>
          <w:color w:val="auto"/>
          <w:lang w:val="en-US" w:eastAsia="en-US"/>
        </w:rPr>
        <w:t xml:space="preserve">= 10.87 </w:t>
      </w:r>
      <w:r w:rsidRPr="007943A0">
        <w:rPr>
          <w:rFonts w:ascii="Symbol" w:eastAsia="Calibri" w:hAnsi="Symbol"/>
          <w:color w:val="auto"/>
          <w:lang w:val="en-US" w:eastAsia="en-US"/>
        </w:rPr>
        <w:t></w:t>
      </w:r>
      <w:r w:rsidRPr="007943A0">
        <w:rPr>
          <w:rFonts w:eastAsia="Calibri"/>
          <w:color w:val="auto"/>
          <w:lang w:val="en-US" w:eastAsia="en-US"/>
        </w:rPr>
        <w:t xml:space="preserve">M) kıyasla 12.55 </w:t>
      </w:r>
      <w:r w:rsidRPr="007943A0">
        <w:rPr>
          <w:rFonts w:ascii="Symbol" w:eastAsia="Calibri" w:hAnsi="Symbol"/>
          <w:color w:val="auto"/>
          <w:lang w:val="en-US" w:eastAsia="en-US"/>
        </w:rPr>
        <w:t></w:t>
      </w:r>
      <w:r w:rsidRPr="007943A0">
        <w:rPr>
          <w:rFonts w:eastAsia="Calibri"/>
          <w:color w:val="auto"/>
          <w:lang w:val="en-US" w:eastAsia="en-US"/>
        </w:rPr>
        <w:t>M'lik bir IC</w:t>
      </w:r>
      <w:r w:rsidRPr="007943A0">
        <w:rPr>
          <w:rFonts w:eastAsia="Calibri"/>
          <w:color w:val="auto"/>
          <w:vertAlign w:val="subscript"/>
          <w:lang w:val="en-US" w:eastAsia="en-US"/>
        </w:rPr>
        <w:t>50</w:t>
      </w:r>
      <w:r w:rsidRPr="007943A0">
        <w:rPr>
          <w:rFonts w:eastAsia="Calibri"/>
          <w:color w:val="auto"/>
          <w:lang w:val="en-US" w:eastAsia="en-US"/>
        </w:rPr>
        <w:t xml:space="preserve"> değeriyle en yüksek aktivite gösterdiği ve ayrıca AChE için BChE'ye göre en yüksek seçiciliği sergilediği görülmüştür. R grubuna klor bağlı bileşik ise , ikili bir inhibisyonla en iyi anti-BChE aktivitesi gösterdiği gözlenmiştir (IC</w:t>
      </w:r>
      <w:r w:rsidRPr="007943A0">
        <w:rPr>
          <w:rFonts w:eastAsia="Calibri"/>
          <w:color w:val="auto"/>
          <w:vertAlign w:val="subscript"/>
          <w:lang w:val="en-US" w:eastAsia="en-US"/>
        </w:rPr>
        <w:t>50</w:t>
      </w:r>
      <w:r w:rsidRPr="007943A0">
        <w:rPr>
          <w:rFonts w:eastAsia="Calibri"/>
          <w:color w:val="auto"/>
          <w:lang w:val="en-US" w:eastAsia="en-US"/>
        </w:rPr>
        <w:t xml:space="preserve"> </w:t>
      </w:r>
      <w:r w:rsidRPr="007943A0">
        <w:rPr>
          <w:rFonts w:eastAsia="Calibri"/>
          <w:color w:val="auto"/>
          <w:vertAlign w:val="subscript"/>
          <w:lang w:val="en-US" w:eastAsia="en-US"/>
        </w:rPr>
        <w:t>BChE</w:t>
      </w:r>
      <w:r w:rsidRPr="007943A0">
        <w:rPr>
          <w:rFonts w:eastAsia="Calibri"/>
          <w:color w:val="auto"/>
          <w:lang w:val="en-US" w:eastAsia="en-US"/>
        </w:rPr>
        <w:t xml:space="preserve"> = 17.28 μM,  IC</w:t>
      </w:r>
      <w:r w:rsidRPr="007943A0">
        <w:rPr>
          <w:rFonts w:eastAsia="Calibri"/>
          <w:color w:val="auto"/>
          <w:vertAlign w:val="subscript"/>
          <w:lang w:val="en-US" w:eastAsia="en-US"/>
        </w:rPr>
        <w:t>50</w:t>
      </w:r>
      <w:r w:rsidRPr="007943A0">
        <w:rPr>
          <w:rFonts w:eastAsia="Calibri"/>
          <w:color w:val="auto"/>
          <w:lang w:val="en-US" w:eastAsia="en-US"/>
        </w:rPr>
        <w:t xml:space="preserve"> </w:t>
      </w:r>
      <w:r w:rsidRPr="007943A0">
        <w:rPr>
          <w:rFonts w:eastAsia="Calibri"/>
          <w:color w:val="auto"/>
          <w:vertAlign w:val="subscript"/>
          <w:lang w:val="en-US" w:eastAsia="en-US"/>
        </w:rPr>
        <w:t>AChE</w:t>
      </w:r>
      <w:r w:rsidRPr="007943A0">
        <w:rPr>
          <w:rFonts w:eastAsia="Calibri"/>
          <w:color w:val="auto"/>
          <w:lang w:val="en-US" w:eastAsia="en-US"/>
        </w:rPr>
        <w:t xml:space="preserve"> = 18.04 μM). Verilere dayanarak, benzil kısımları üzerinde para pozisyonlara farklı grupların bağlanmasıyla hem AChE hem de BChE enzim inhibisyonunda daha iyi sonuçlar elde edildiği görülmüştür. Ancak çalışmada inhibitör potansiyelleri ile grupların elektron çekme veya itme kuvvetleri arasında herhangi bir ilişki kurulamamıştır (Parlar 2019).</w:t>
      </w:r>
    </w:p>
    <w:p w14:paraId="32230531" w14:textId="2CB50D0D" w:rsidR="007943A0" w:rsidRPr="007943A0" w:rsidRDefault="007943A0" w:rsidP="0015234E">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Levent 2016 ve arkadaşlarının yapmış oldukları çalışmada donepezil molekülünün , asetilkolin esteraz inhibitörü olarak görev yaptığı ve bu nedenle, antikolinesteraz aktivitesini değerlendirmek için piperidin bileşiklerinin sentezinin, tıbbi kimyada çok popüler bir alan olduğunu belirtmiş ve bu nedenle, olası asetilkolinesteraz etkilerini gözlemlemek için bazı yeni piperidin türevleri sentezlemişlerdir. 4-(piperidin 1-il) grubunun ortak olarak bulunduğu  farklı 5 bileşiğin inhibisyon oranlarının 1 ve 0.1 μM konsantrasyonlarında sırasıyla % 26.14-73,07 ve % 9.42- 59.26 aralıklarında olduğu belirlenmiştir. Dizide 4-dikloro-N-(4-(4-(piperidin-1-yl)phenyl)thiazol-2-yl)benzamide bileşiğinin, 1 μM ve 0.1</w:t>
      </w:r>
      <w:r w:rsidRPr="007943A0">
        <w:rPr>
          <w:rFonts w:ascii="Calibri" w:eastAsia="Calibri" w:hAnsi="Calibri"/>
          <w:color w:val="auto"/>
          <w:sz w:val="22"/>
          <w:szCs w:val="22"/>
          <w:lang w:val="en-US" w:eastAsia="en-US"/>
        </w:rPr>
        <w:t xml:space="preserve"> </w:t>
      </w:r>
      <w:r w:rsidRPr="007943A0">
        <w:rPr>
          <w:rFonts w:eastAsia="Calibri"/>
          <w:color w:val="auto"/>
          <w:lang w:val="en-US" w:eastAsia="en-US"/>
        </w:rPr>
        <w:t>μM konsantrasyonlar</w:t>
      </w:r>
      <w:r w:rsidR="005020FF">
        <w:rPr>
          <w:rFonts w:eastAsia="Calibri"/>
          <w:color w:val="auto"/>
          <w:lang w:val="en-US" w:eastAsia="en-US"/>
        </w:rPr>
        <w:t>ın</w:t>
      </w:r>
      <w:r w:rsidRPr="007943A0">
        <w:rPr>
          <w:rFonts w:eastAsia="Calibri"/>
          <w:color w:val="auto"/>
          <w:lang w:val="en-US" w:eastAsia="en-US"/>
        </w:rPr>
        <w:t>da % 73.07 ve % 59.26 inhibisyon oranları ile AChE'ye karşı en aktif türev olarak bulunmuştur.</w:t>
      </w:r>
    </w:p>
    <w:p w14:paraId="048AE499" w14:textId="6A1D3083" w:rsidR="007943A0" w:rsidRPr="007943A0" w:rsidRDefault="007943A0" w:rsidP="0015234E">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Piperidin ve piperazin bileşiklerinin sentezlendiği bir çalışmada 3-((4-benzilpiperidin-1-il)(fenil)metil)-4-hidroksi-2H-kromen-2-on bileşiği için 32mM konsantrasyonda AChE inhibisyonu</w:t>
      </w:r>
      <w:r w:rsidR="00184710">
        <w:rPr>
          <w:rFonts w:eastAsia="Calibri"/>
          <w:color w:val="auto"/>
          <w:lang w:val="en-US" w:eastAsia="en-US"/>
        </w:rPr>
        <w:t xml:space="preserve"> </w:t>
      </w:r>
      <w:r w:rsidR="005020FF">
        <w:rPr>
          <w:rFonts w:eastAsia="Calibri"/>
          <w:color w:val="auto"/>
          <w:lang w:val="en-US" w:eastAsia="en-US"/>
        </w:rPr>
        <w:t>%</w:t>
      </w:r>
      <w:r w:rsidRPr="007943A0">
        <w:rPr>
          <w:rFonts w:eastAsia="Calibri"/>
          <w:color w:val="auto"/>
          <w:lang w:val="en-US" w:eastAsia="en-US"/>
        </w:rPr>
        <w:t xml:space="preserve">29.0 </w:t>
      </w:r>
      <w:r w:rsidR="005020FF">
        <w:rPr>
          <w:rFonts w:eastAsia="Calibri"/>
          <w:color w:val="auto"/>
          <w:lang w:val="en-US" w:eastAsia="en-US"/>
        </w:rPr>
        <w:t xml:space="preserve">BChE inhibisyonu %12.2 iken; </w:t>
      </w:r>
      <w:r w:rsidRPr="007943A0">
        <w:rPr>
          <w:rFonts w:eastAsia="Calibri"/>
          <w:color w:val="auto"/>
          <w:lang w:val="en-US" w:eastAsia="en-US"/>
        </w:rPr>
        <w:t>3-((4-benzil piperidin-1-il)metil)-4-hidroksi-2H kromen-2-on bile</w:t>
      </w:r>
      <w:r w:rsidR="005020FF">
        <w:rPr>
          <w:rFonts w:eastAsia="Calibri"/>
          <w:color w:val="auto"/>
          <w:lang w:val="en-US" w:eastAsia="en-US"/>
        </w:rPr>
        <w:t>şiği için sırasıyla % 33.7 ve %</w:t>
      </w:r>
      <w:r w:rsidRPr="007943A0">
        <w:rPr>
          <w:rFonts w:eastAsia="Calibri"/>
          <w:color w:val="auto"/>
          <w:lang w:val="en-US" w:eastAsia="en-US"/>
        </w:rPr>
        <w:t xml:space="preserve">9.0; 4-hidroksi-3-(piperidin-1-ilmetil)-2H-kromen-2-on bileşiği için sırasıyla %6.7 ve %17.7 olarak bulunmuştur. Çalışmada piperidin kısmına benzil grubunun eklenmesi ile AChE inhibitör aktivitesinde önemli bir artış olduğu gözlenmiştir Ancak BChE için tüm bileşikler daha zayıf inhibitör etkisi gösterirken piperidinler içinde en yüksek 4-hidroksi-3- </w:t>
      </w:r>
      <w:r w:rsidRPr="007943A0">
        <w:rPr>
          <w:rFonts w:eastAsia="Calibri"/>
          <w:color w:val="auto"/>
          <w:lang w:val="en-US" w:eastAsia="en-US"/>
        </w:rPr>
        <w:lastRenderedPageBreak/>
        <w:t>(piperidin-1-ilmetil)-2H-kromen-2-on bileşiğinin inhibisyonu en yüksektir (Kiani vd.2019).</w:t>
      </w:r>
    </w:p>
    <w:p w14:paraId="5F70731C" w14:textId="1B66FBBA" w:rsidR="007943A0" w:rsidRPr="007943A0" w:rsidRDefault="007943A0" w:rsidP="0015234E">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 xml:space="preserve">Başka bir çalışmada ise bir dizi yeni sentezlenen N-alkil-N- (piperidin-1-il) benzensülfonamid ve N-aril / alkil ikameli-2 [(fenilsülfonil) (piperidin-1-il) amino] asetamid bileşiklerinin AChE ve BChE enzimleri üzerindeki etkileri </w:t>
      </w:r>
      <w:r w:rsidR="005020FF">
        <w:rPr>
          <w:rFonts w:eastAsia="Calibri"/>
          <w:color w:val="auto"/>
          <w:lang w:val="en-US" w:eastAsia="en-US"/>
        </w:rPr>
        <w:t xml:space="preserve">incelenmiştir. Bileşikler için </w:t>
      </w:r>
      <w:r w:rsidRPr="007943A0">
        <w:rPr>
          <w:rFonts w:eastAsia="Calibri"/>
          <w:color w:val="auto"/>
          <w:lang w:val="en-US" w:eastAsia="en-US"/>
        </w:rPr>
        <w:t>AChE ve</w:t>
      </w:r>
      <w:r w:rsidR="005020FF">
        <w:rPr>
          <w:rFonts w:eastAsia="Calibri"/>
          <w:color w:val="auto"/>
          <w:lang w:val="en-US" w:eastAsia="en-US"/>
        </w:rPr>
        <w:t xml:space="preserve"> BChE enzimleri üzerinde</w:t>
      </w:r>
      <w:r w:rsidRPr="007943A0">
        <w:rPr>
          <w:rFonts w:eastAsia="Calibri"/>
          <w:color w:val="auto"/>
          <w:lang w:val="en-US" w:eastAsia="en-US"/>
        </w:rPr>
        <w:t xml:space="preserve">  IC</w:t>
      </w:r>
      <w:r w:rsidRPr="007943A0">
        <w:rPr>
          <w:rFonts w:eastAsia="Calibri"/>
          <w:color w:val="auto"/>
          <w:vertAlign w:val="subscript"/>
          <w:lang w:val="en-US" w:eastAsia="en-US"/>
        </w:rPr>
        <w:t>50</w:t>
      </w:r>
      <w:r w:rsidRPr="007943A0">
        <w:rPr>
          <w:rFonts w:eastAsia="Calibri"/>
          <w:color w:val="auto"/>
          <w:lang w:val="en-US" w:eastAsia="en-US"/>
        </w:rPr>
        <w:t xml:space="preserve"> değer aralıkları sırasıyla 19.11-399.11 </w:t>
      </w:r>
      <w:r w:rsidRPr="007943A0">
        <w:rPr>
          <w:rFonts w:ascii="Symbol" w:eastAsia="Calibri" w:hAnsi="Symbol"/>
          <w:color w:val="auto"/>
          <w:lang w:val="en-US" w:eastAsia="en-US"/>
        </w:rPr>
        <w:t></w:t>
      </w:r>
      <w:r w:rsidRPr="007943A0">
        <w:rPr>
          <w:rFonts w:eastAsia="Calibri"/>
          <w:color w:val="auto"/>
          <w:lang w:val="en-US" w:eastAsia="en-US"/>
        </w:rPr>
        <w:t xml:space="preserve">M; 4.21-137.24 </w:t>
      </w:r>
      <w:r w:rsidRPr="007943A0">
        <w:rPr>
          <w:rFonts w:ascii="Symbol" w:eastAsia="Calibri" w:hAnsi="Symbol"/>
          <w:color w:val="auto"/>
          <w:lang w:val="en-US" w:eastAsia="en-US"/>
        </w:rPr>
        <w:t></w:t>
      </w:r>
      <w:r w:rsidRPr="007943A0">
        <w:rPr>
          <w:rFonts w:eastAsia="Calibri"/>
          <w:color w:val="auto"/>
          <w:lang w:val="en-US" w:eastAsia="en-US"/>
        </w:rPr>
        <w:t>M olarak bulunmuştur. Bileşiklerden N-alil-N-(piperidin-1-il) benzensülfonamid (IC</w:t>
      </w:r>
      <w:r w:rsidRPr="007943A0">
        <w:rPr>
          <w:rFonts w:eastAsia="Calibri"/>
          <w:color w:val="auto"/>
          <w:vertAlign w:val="subscript"/>
          <w:lang w:val="en-US" w:eastAsia="en-US"/>
        </w:rPr>
        <w:t>50</w:t>
      </w:r>
      <w:r w:rsidRPr="007943A0">
        <w:rPr>
          <w:rFonts w:eastAsia="Calibri"/>
          <w:color w:val="auto"/>
          <w:lang w:val="en-US" w:eastAsia="en-US"/>
        </w:rPr>
        <w:t xml:space="preserve"> </w:t>
      </w:r>
      <w:r w:rsidRPr="007943A0">
        <w:rPr>
          <w:rFonts w:eastAsia="Calibri"/>
          <w:color w:val="auto"/>
          <w:vertAlign w:val="subscript"/>
          <w:lang w:val="en-US" w:eastAsia="en-US"/>
        </w:rPr>
        <w:t>BChE</w:t>
      </w:r>
      <w:r w:rsidRPr="007943A0">
        <w:rPr>
          <w:rFonts w:eastAsia="Calibri"/>
          <w:color w:val="auto"/>
          <w:lang w:val="en-US" w:eastAsia="en-US"/>
        </w:rPr>
        <w:t>: 4.4 ± 0.03 μmol/L) ve N-benzil-N-(piperidin-1-il) benzensülfonamid (IC</w:t>
      </w:r>
      <w:r w:rsidRPr="007943A0">
        <w:rPr>
          <w:rFonts w:eastAsia="Calibri"/>
          <w:color w:val="auto"/>
          <w:vertAlign w:val="subscript"/>
          <w:lang w:val="en-US" w:eastAsia="en-US"/>
        </w:rPr>
        <w:t>50 BChE</w:t>
      </w:r>
      <w:r w:rsidRPr="007943A0">
        <w:rPr>
          <w:rFonts w:eastAsia="Calibri"/>
          <w:color w:val="auto"/>
          <w:lang w:val="en-US" w:eastAsia="en-US"/>
        </w:rPr>
        <w:t>: 4.21 ± 0.11 μmol/L) bileşiklerinin bütirilkolinesteraz enzimine karşı çok yüksek bir IC</w:t>
      </w:r>
      <w:r w:rsidRPr="007943A0">
        <w:rPr>
          <w:rFonts w:eastAsia="Calibri"/>
          <w:color w:val="auto"/>
          <w:vertAlign w:val="subscript"/>
          <w:lang w:val="en-US" w:eastAsia="en-US"/>
        </w:rPr>
        <w:t xml:space="preserve">50 </w:t>
      </w:r>
      <w:r w:rsidRPr="007943A0">
        <w:rPr>
          <w:rFonts w:eastAsia="Calibri"/>
          <w:color w:val="auto"/>
          <w:lang w:val="en-US" w:eastAsia="en-US"/>
        </w:rPr>
        <w:t>değerine sahip oldukları görülmüştür. AChE enzimi üzerinde ise asetamid bağlı bileşikler içerisinde N- (2,6-dimetilfenil)-2-[(fenilsülfonil) (piperidin-1-il) amino] asetamid (19.11 ± 0.32) ve benzensülfonamid bağlı bileşiklerden ise N-alil-N- (piperidin-1 il</w:t>
      </w:r>
      <w:r w:rsidR="005020FF">
        <w:rPr>
          <w:rFonts w:eastAsia="Calibri"/>
          <w:color w:val="auto"/>
          <w:lang w:val="en-US" w:eastAsia="en-US"/>
        </w:rPr>
        <w:t xml:space="preserve">) benzensülfonamid bileşiğinin (23.21±0.17 μmol/L </w:t>
      </w:r>
      <w:r w:rsidRPr="007943A0">
        <w:rPr>
          <w:rFonts w:eastAsia="Calibri"/>
          <w:color w:val="auto"/>
          <w:lang w:val="en-US" w:eastAsia="en-US"/>
        </w:rPr>
        <w:t>en yüksek IC</w:t>
      </w:r>
      <w:r w:rsidRPr="007943A0">
        <w:rPr>
          <w:rFonts w:eastAsia="Calibri"/>
          <w:color w:val="auto"/>
          <w:vertAlign w:val="subscript"/>
          <w:lang w:val="en-US" w:eastAsia="en-US"/>
        </w:rPr>
        <w:t xml:space="preserve">50 </w:t>
      </w:r>
      <w:r w:rsidRPr="007943A0">
        <w:rPr>
          <w:rFonts w:eastAsia="Calibri"/>
          <w:color w:val="auto"/>
          <w:lang w:val="en-US" w:eastAsia="en-US"/>
        </w:rPr>
        <w:t>değerine sahip oldukları görülmüştür. Bu yükseklikler muhtemelen allil ve benzil gruplarının N-ikamesinden kaynaklanmaktadır (Khalid ve Rehman 2012).</w:t>
      </w:r>
    </w:p>
    <w:p w14:paraId="77FCD57B" w14:textId="4B286C91" w:rsidR="007943A0" w:rsidRDefault="007943A0" w:rsidP="0015234E">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Yukarıda belirtilen piperidin türevleri ile ilgili çalışmalarda bulunan sonuçlar ile çalışmamızda bulunan değerlerin benzer aralıklarda olduğu görülmektedir.</w:t>
      </w:r>
      <w:r w:rsidRPr="007943A0">
        <w:rPr>
          <w:rFonts w:ascii="Calibri" w:eastAsia="Calibri" w:hAnsi="Calibri"/>
          <w:color w:val="auto"/>
          <w:sz w:val="22"/>
          <w:szCs w:val="22"/>
          <w:lang w:val="en-US" w:eastAsia="en-US"/>
        </w:rPr>
        <w:t xml:space="preserve"> </w:t>
      </w:r>
      <w:r w:rsidRPr="007943A0">
        <w:rPr>
          <w:rFonts w:eastAsia="Calibri"/>
          <w:color w:val="auto"/>
          <w:lang w:val="en-US" w:eastAsia="en-US"/>
        </w:rPr>
        <w:t>Kiani ve arkadaşlarının 2019’da yaptıkları çalışmada</w:t>
      </w:r>
      <w:r w:rsidRPr="007943A0">
        <w:rPr>
          <w:rFonts w:ascii="Calibri" w:eastAsia="Calibri" w:hAnsi="Calibri"/>
          <w:color w:val="auto"/>
          <w:sz w:val="22"/>
          <w:szCs w:val="22"/>
          <w:lang w:val="en-US" w:eastAsia="en-US"/>
        </w:rPr>
        <w:t xml:space="preserve"> </w:t>
      </w:r>
      <w:r w:rsidRPr="007943A0">
        <w:rPr>
          <w:rFonts w:eastAsia="Calibri"/>
          <w:color w:val="auto"/>
          <w:lang w:val="en-US" w:eastAsia="en-US"/>
        </w:rPr>
        <w:t xml:space="preserve">piperidin kısmına benzil grubunun eklenmesi ile AChE inhibitör aktivitesinde önemli bir artış olduğu gözlenmiştir. Ancak BChE için tüm bileşikler daha zayıf inhibitör etkisi göstermiştir. Yine yukarıda belirtildiği üzere Khalid ve Rehman 2012 de yaptıkları çalışmada ve benzeri çalışmalarda benzil gruplarının inhibitor aktivitesi arttırıcı yönde etki gösterdiği belirtilmiştir. </w:t>
      </w:r>
      <w:r w:rsidR="00184710">
        <w:rPr>
          <w:rFonts w:eastAsia="Calibri"/>
          <w:color w:val="auto"/>
          <w:lang w:val="en-US" w:eastAsia="en-US"/>
        </w:rPr>
        <w:t>Çalışmamızda</w:t>
      </w:r>
      <w:r w:rsidR="003E6ACB">
        <w:rPr>
          <w:rFonts w:eastAsia="Calibri"/>
          <w:color w:val="auto"/>
          <w:lang w:val="en-US" w:eastAsia="en-US"/>
        </w:rPr>
        <w:t>ki</w:t>
      </w:r>
      <w:r w:rsidRPr="007943A0">
        <w:rPr>
          <w:rFonts w:eastAsia="Calibri"/>
          <w:color w:val="auto"/>
          <w:lang w:val="en-US" w:eastAsia="en-US"/>
        </w:rPr>
        <w:t xml:space="preserve"> bileşiklerinde piperidin halkasında para pozisyonunda bulunan OH ve bu halkaya bağlı olan 2 ayrı fenil gruplarının özellikle AChE üzerinde inhibitör aktivite etkisini arttırdığı düşünülmektedir. </w:t>
      </w:r>
    </w:p>
    <w:p w14:paraId="621D47F7" w14:textId="1584B1C8" w:rsidR="002C283F" w:rsidRDefault="002C283F" w:rsidP="008F2DA3">
      <w:pPr>
        <w:widowControl w:val="0"/>
        <w:spacing w:after="0" w:line="360" w:lineRule="auto"/>
        <w:ind w:firstLine="567"/>
        <w:jc w:val="both"/>
        <w:rPr>
          <w:rFonts w:eastAsia="Calibri"/>
          <w:color w:val="auto"/>
          <w:lang w:val="en-US" w:eastAsia="en-US"/>
        </w:rPr>
      </w:pPr>
      <w:r>
        <w:rPr>
          <w:rFonts w:eastAsia="Calibri"/>
          <w:color w:val="auto"/>
          <w:lang w:val="en-US" w:eastAsia="en-US"/>
        </w:rPr>
        <w:t xml:space="preserve">Çalışmalardan donepezilin çok iyi bir asetilkolinesteraz enzim inhibitörü olduğu bilinmektedir. </w:t>
      </w:r>
      <w:r w:rsidRPr="0005256D">
        <w:rPr>
          <w:rFonts w:eastAsia="Calibri"/>
          <w:color w:val="auto"/>
          <w:lang w:val="en-US" w:eastAsia="en-US"/>
        </w:rPr>
        <w:t>Donepezilin standart olarak kullanıldığı çalışmalar  incelendiğinde  IC</w:t>
      </w:r>
      <w:r w:rsidRPr="0005256D">
        <w:rPr>
          <w:rFonts w:eastAsia="Calibri"/>
          <w:color w:val="auto"/>
          <w:vertAlign w:val="subscript"/>
          <w:lang w:val="en-US" w:eastAsia="en-US"/>
        </w:rPr>
        <w:t xml:space="preserve">50 </w:t>
      </w:r>
      <w:r w:rsidRPr="0005256D">
        <w:rPr>
          <w:rFonts w:eastAsia="Calibri"/>
          <w:color w:val="auto"/>
          <w:lang w:val="en-US" w:eastAsia="en-US"/>
        </w:rPr>
        <w:t>değerleri 0.058±0.002 μM, 0.029 ± 0.002, 6.31 ±0.09 μM gibi</w:t>
      </w:r>
      <w:r>
        <w:rPr>
          <w:rFonts w:eastAsia="Calibri"/>
          <w:color w:val="auto"/>
          <w:lang w:val="en-US" w:eastAsia="en-US"/>
        </w:rPr>
        <w:t xml:space="preserve"> değerler bulunduğu görülmüştür </w:t>
      </w:r>
      <w:r w:rsidRPr="0005256D">
        <w:rPr>
          <w:rFonts w:eastAsia="Calibri"/>
          <w:color w:val="auto"/>
          <w:lang w:val="en-US" w:eastAsia="en-US"/>
        </w:rPr>
        <w:t>(Mohsen, 2012;  Li vd.,2013; Islam vd., 2019)</w:t>
      </w:r>
      <w:r>
        <w:rPr>
          <w:rFonts w:eastAsia="Calibri"/>
          <w:color w:val="auto"/>
          <w:lang w:val="en-US" w:eastAsia="en-US"/>
        </w:rPr>
        <w:t xml:space="preserve"> . Piperidin türevleri ile ilgili</w:t>
      </w:r>
      <w:r w:rsidR="00F44FAD">
        <w:rPr>
          <w:rFonts w:eastAsia="Calibri"/>
          <w:color w:val="auto"/>
          <w:lang w:val="en-US" w:eastAsia="en-US"/>
        </w:rPr>
        <w:t xml:space="preserve"> </w:t>
      </w:r>
      <w:r>
        <w:rPr>
          <w:rFonts w:eastAsia="Calibri"/>
          <w:color w:val="auto"/>
          <w:lang w:val="en-US" w:eastAsia="en-US"/>
        </w:rPr>
        <w:t>yapılan bir çalışmada ise</w:t>
      </w:r>
      <w:r>
        <w:t xml:space="preserve"> </w:t>
      </w:r>
      <w:r w:rsidRPr="0005256D">
        <w:rPr>
          <w:rFonts w:eastAsia="Calibri"/>
          <w:color w:val="auto"/>
          <w:lang w:val="en-US" w:eastAsia="en-US"/>
        </w:rPr>
        <w:t xml:space="preserve">standart </w:t>
      </w:r>
      <w:r>
        <w:rPr>
          <w:rFonts w:eastAsia="Calibri"/>
          <w:color w:val="auto"/>
          <w:lang w:val="en-US" w:eastAsia="en-US"/>
        </w:rPr>
        <w:t xml:space="preserve">olarak kullanılan donepezilin bileşiklerle </w:t>
      </w:r>
      <w:r w:rsidRPr="0005256D">
        <w:rPr>
          <w:rFonts w:eastAsia="Calibri"/>
          <w:color w:val="auto"/>
          <w:lang w:val="en-US" w:eastAsia="en-US"/>
        </w:rPr>
        <w:t>aynı konsantrasyonda %80,0</w:t>
      </w:r>
      <w:r>
        <w:rPr>
          <w:rFonts w:eastAsia="Calibri"/>
          <w:color w:val="auto"/>
          <w:lang w:val="en-US" w:eastAsia="en-US"/>
        </w:rPr>
        <w:t>7 inhibisyon etkisi gösterdiği gözlenmiş, ç</w:t>
      </w:r>
      <w:r w:rsidRPr="0005256D">
        <w:rPr>
          <w:rFonts w:eastAsia="Calibri"/>
          <w:color w:val="auto"/>
          <w:lang w:val="en-US" w:eastAsia="en-US"/>
        </w:rPr>
        <w:t>alışmada</w:t>
      </w:r>
      <w:r>
        <w:rPr>
          <w:rFonts w:eastAsia="Calibri"/>
          <w:color w:val="auto"/>
          <w:lang w:val="en-US" w:eastAsia="en-US"/>
        </w:rPr>
        <w:t xml:space="preserve"> kullanılan </w:t>
      </w:r>
      <w:r w:rsidRPr="0005256D">
        <w:rPr>
          <w:rFonts w:eastAsia="Calibri"/>
          <w:color w:val="auto"/>
          <w:lang w:val="en-US" w:eastAsia="en-US"/>
        </w:rPr>
        <w:t>dört bileşiğin, 100</w:t>
      </w:r>
      <w:r w:rsidRPr="0005256D">
        <w:rPr>
          <w:rFonts w:ascii="Symbol" w:eastAsia="Calibri" w:hAnsi="Symbol"/>
          <w:color w:val="auto"/>
          <w:lang w:val="en-US" w:eastAsia="en-US"/>
        </w:rPr>
        <w:t></w:t>
      </w:r>
      <w:r w:rsidRPr="0005256D">
        <w:rPr>
          <w:rFonts w:ascii="Symbol" w:eastAsia="Calibri" w:hAnsi="Symbol"/>
          <w:color w:val="auto"/>
          <w:lang w:val="en-US" w:eastAsia="en-US"/>
        </w:rPr>
        <w:t></w:t>
      </w:r>
      <w:r w:rsidRPr="0005256D">
        <w:rPr>
          <w:rFonts w:eastAsia="Calibri"/>
          <w:color w:val="auto"/>
          <w:lang w:val="en-US" w:eastAsia="en-US"/>
        </w:rPr>
        <w:t xml:space="preserve">M konsantrasyonda % 10'dan fazla inhibitör yüzdesi ile AChE'ye karşı orta </w:t>
      </w:r>
      <w:r w:rsidRPr="0005256D">
        <w:rPr>
          <w:rFonts w:eastAsia="Calibri"/>
          <w:color w:val="auto"/>
          <w:lang w:val="en-US" w:eastAsia="en-US"/>
        </w:rPr>
        <w:lastRenderedPageBreak/>
        <w:t>düzeyde aktivite gösterdiği belirtilmiştir (Kang vd. 2013)</w:t>
      </w:r>
      <w:r>
        <w:rPr>
          <w:rFonts w:eastAsia="Calibri"/>
          <w:color w:val="auto"/>
          <w:lang w:val="en-US" w:eastAsia="en-US"/>
        </w:rPr>
        <w:t xml:space="preserve">. Kiani ve arkadaşlarının 2019’da yaptığı bir çalışmada ise asetilkolinesteraz enzimini donepezilin %100 inhibe ederken kullanılan bileşiklerin %6.7-%33 arasında inhibe ettikleri gözlenmiştir. Bu çalışmalardanda anlaşılacağı gibi piperidin türevleri ile yapılan çalışmalarda standart donepezilin etkisi çok daha yüksek bulunmuştur. </w:t>
      </w:r>
      <w:r w:rsidR="001D48F0" w:rsidRPr="001D48F0">
        <w:rPr>
          <w:rFonts w:eastAsia="Calibri"/>
          <w:color w:val="auto"/>
          <w:lang w:val="en-US" w:eastAsia="en-US"/>
        </w:rPr>
        <w:t>Çalışmamızda IC</w:t>
      </w:r>
      <w:r w:rsidR="001D48F0" w:rsidRPr="001D48F0">
        <w:rPr>
          <w:rFonts w:eastAsia="Calibri"/>
          <w:color w:val="auto"/>
          <w:vertAlign w:val="subscript"/>
          <w:lang w:val="en-US" w:eastAsia="en-US"/>
        </w:rPr>
        <w:t>50</w:t>
      </w:r>
      <w:r w:rsidR="001D48F0" w:rsidRPr="001D48F0">
        <w:rPr>
          <w:rFonts w:eastAsia="Calibri"/>
          <w:color w:val="auto"/>
          <w:lang w:val="en-US" w:eastAsia="en-US"/>
        </w:rPr>
        <w:t xml:space="preserve"> değeri 0.032 mM olarak belirlenen donepezilin yapılan çalışmalarla benzer değere sahip olduğu gözlemlenmiştir.</w:t>
      </w:r>
    </w:p>
    <w:p w14:paraId="4FDB2BFA" w14:textId="77777777" w:rsidR="00075B82" w:rsidRDefault="002C283F" w:rsidP="008F2DA3">
      <w:pPr>
        <w:widowControl w:val="0"/>
        <w:spacing w:after="0" w:line="360" w:lineRule="auto"/>
        <w:ind w:firstLine="567"/>
        <w:jc w:val="both"/>
        <w:rPr>
          <w:rFonts w:eastAsia="Calibri"/>
          <w:color w:val="auto"/>
          <w:lang w:val="en-US" w:eastAsia="en-US"/>
        </w:rPr>
      </w:pPr>
      <w:r>
        <w:rPr>
          <w:rFonts w:eastAsia="Calibri"/>
          <w:color w:val="auto"/>
          <w:lang w:val="en-US" w:eastAsia="en-US"/>
        </w:rPr>
        <w:t>Yapılan çalışmalara ve çalışmamıza bakıldığında hem AChE’ı hem BChE’ı seçicilik göstermeden inhibe eden bileşiklerin varlığı, çalışmamızda kullanılan bileşiklerin inhibisyon düzeylerinin diğer çalışmalarla kıyaslandığında iyi bir değere sahip oluşu ve piperidin türevi maddelerin farmakolojide birçok ilaç için kullanıldığı gibi nedenlerden dolayı çalışma sonuçları oldukça önemlidir</w:t>
      </w:r>
      <w:r w:rsidRPr="002C283F">
        <w:rPr>
          <w:rFonts w:eastAsia="Calibri"/>
          <w:color w:val="auto"/>
          <w:lang w:val="en-US" w:eastAsia="en-US"/>
        </w:rPr>
        <w:t xml:space="preserve">. </w:t>
      </w:r>
    </w:p>
    <w:p w14:paraId="2BF7F331" w14:textId="2632F7AE" w:rsidR="002C283F" w:rsidRPr="007943A0" w:rsidRDefault="002C283F" w:rsidP="008F2DA3">
      <w:pPr>
        <w:widowControl w:val="0"/>
        <w:spacing w:after="0" w:line="360" w:lineRule="auto"/>
        <w:ind w:firstLine="567"/>
        <w:jc w:val="both"/>
        <w:rPr>
          <w:rFonts w:eastAsia="Calibri"/>
          <w:color w:val="auto"/>
          <w:lang w:val="en-US" w:eastAsia="en-US"/>
        </w:rPr>
      </w:pPr>
      <w:r>
        <w:rPr>
          <w:rFonts w:eastAsia="Calibri"/>
          <w:color w:val="auto"/>
          <w:lang w:val="en-US" w:eastAsia="en-US"/>
        </w:rPr>
        <w:t xml:space="preserve">Bütün sonuçlar değerlendirildiğinde </w:t>
      </w:r>
      <w:r w:rsidRPr="002C283F">
        <w:rPr>
          <w:rFonts w:eastAsia="Calibri"/>
          <w:color w:val="auto"/>
          <w:lang w:val="en-US" w:eastAsia="en-US"/>
        </w:rPr>
        <w:t>bileşiklerin AChE enzimi üzerindeki etkisinin çok daha iyi olduğu gözlemlenmiş ve bileşiklerin iyi bir AChE inhibitörü olduğu görülmüştür. Bununla birlikte bileşiklerin B</w:t>
      </w:r>
      <w:r>
        <w:rPr>
          <w:rFonts w:eastAsia="Calibri"/>
          <w:color w:val="auto"/>
          <w:lang w:val="en-US" w:eastAsia="en-US"/>
        </w:rPr>
        <w:t>ChE enziminide inhibe etmelerininde</w:t>
      </w:r>
      <w:r w:rsidRPr="002C283F">
        <w:rPr>
          <w:rFonts w:eastAsia="Calibri"/>
          <w:color w:val="auto"/>
          <w:lang w:val="en-US" w:eastAsia="en-US"/>
        </w:rPr>
        <w:t xml:space="preserve"> ikili enzim inhibitörleri olarak görev yaptıklarından Alzhei</w:t>
      </w:r>
      <w:r>
        <w:rPr>
          <w:rFonts w:eastAsia="Calibri"/>
          <w:color w:val="auto"/>
          <w:lang w:val="en-US" w:eastAsia="en-US"/>
        </w:rPr>
        <w:t>mer hastalığı açısından önemli olduğu düşünülmektedir</w:t>
      </w:r>
      <w:r w:rsidRPr="002C283F">
        <w:rPr>
          <w:rFonts w:eastAsia="Calibri"/>
          <w:color w:val="auto"/>
          <w:lang w:val="en-US" w:eastAsia="en-US"/>
        </w:rPr>
        <w:t xml:space="preserve">.  </w:t>
      </w:r>
    </w:p>
    <w:p w14:paraId="3996C77F" w14:textId="77777777" w:rsidR="007943A0" w:rsidRPr="007943A0" w:rsidRDefault="007943A0" w:rsidP="008F2DA3">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Antibakteriyel aktiviteye sahip etken maddeler geçmişten bugüne hem alternatif tıpda hemde ilaç endüstrisinde hastalıkların iyileşmesi amaçlı kullanılmaktadır. Doğal veya sentetik bileşiklerin ekstraktlarının antimikrobiyal aktivitelere sahip olmaları; alternatif tıpda, eczacılıkta, kozmetikte, besinlerin korunması gibi birçok alanda önemi büyüktür. Bu nedenle geçmişten bugüne birçok madde sentezlenmiş ve antibakteriyel etkileri araştırılmış ve halen araştırılmaya devam edilmektdir.</w:t>
      </w:r>
    </w:p>
    <w:p w14:paraId="19A32235" w14:textId="77777777" w:rsidR="00C47BF0" w:rsidRDefault="007943A0" w:rsidP="008F2DA3">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Dang ve arkadaşlarının 2007 yılında yeni piperidin türevlerinin sentezlendiği bir çalışmada bileşiklerin çoğunun, bazı bakteri türlerine karşı (</w:t>
      </w:r>
      <w:r w:rsidRPr="007943A0">
        <w:rPr>
          <w:rFonts w:eastAsia="Calibri"/>
          <w:i/>
          <w:color w:val="auto"/>
          <w:lang w:val="en-US" w:eastAsia="en-US"/>
        </w:rPr>
        <w:t>Staphylococcus aureus, Streptococcus pneumoniae, Enterococcus faecalis, Escherichia coli, Klebsiella pneumoniae, Pseudomonas aeruginosa</w:t>
      </w:r>
      <w:r w:rsidRPr="007943A0">
        <w:rPr>
          <w:rFonts w:eastAsia="Calibri"/>
          <w:color w:val="auto"/>
          <w:lang w:val="en-US" w:eastAsia="en-US"/>
        </w:rPr>
        <w:t xml:space="preserve"> gibi) yüksek </w:t>
      </w:r>
      <w:r w:rsidRPr="003A7E06">
        <w:rPr>
          <w:rFonts w:eastAsia="Calibri"/>
          <w:i/>
          <w:color w:val="auto"/>
          <w:lang w:val="en-US" w:eastAsia="en-US"/>
        </w:rPr>
        <w:t>in vitro</w:t>
      </w:r>
      <w:r w:rsidRPr="007943A0">
        <w:rPr>
          <w:rFonts w:eastAsia="Calibri"/>
          <w:color w:val="auto"/>
          <w:lang w:val="en-US" w:eastAsia="en-US"/>
        </w:rPr>
        <w:t xml:space="preserve"> antibakteriyel aktivite gösterdiği belirlenmiştir. 4-metilamino-3-metiloksim piperidin türevinin, gram-pozitif ve gram-negatif organizmalara karşı en güçlü antibakteriyel aktiviteyi sahip olduğu gözlemlenmiştir. Gram-pozitif bakteriler için, 4- amino-3-alkiloksim piperidin serisi (Q</w:t>
      </w:r>
      <w:r w:rsidRPr="007943A0">
        <w:rPr>
          <w:rFonts w:eastAsia="Calibri"/>
          <w:color w:val="auto"/>
          <w:vertAlign w:val="subscript"/>
          <w:lang w:val="en-US" w:eastAsia="en-US"/>
        </w:rPr>
        <w:t>1</w:t>
      </w:r>
      <w:r w:rsidRPr="007943A0">
        <w:rPr>
          <w:rFonts w:eastAsia="Calibri"/>
          <w:color w:val="auto"/>
          <w:lang w:val="en-US" w:eastAsia="en-US"/>
        </w:rPr>
        <w:t>) ve 3- amino-4-alkiloksim piperidin serisi (Q</w:t>
      </w:r>
      <w:r w:rsidRPr="007943A0">
        <w:rPr>
          <w:rFonts w:eastAsia="Calibri"/>
          <w:color w:val="auto"/>
          <w:vertAlign w:val="subscript"/>
          <w:lang w:val="en-US" w:eastAsia="en-US"/>
        </w:rPr>
        <w:t>2</w:t>
      </w:r>
      <w:r w:rsidRPr="007943A0">
        <w:rPr>
          <w:rFonts w:eastAsia="Calibri"/>
          <w:color w:val="auto"/>
          <w:lang w:val="en-US" w:eastAsia="en-US"/>
        </w:rPr>
        <w:t>) aktiviteleri arasında önemli bir fark olmadığı; ancak Gram-negatif bakteriler için Q</w:t>
      </w:r>
      <w:r w:rsidRPr="007943A0">
        <w:rPr>
          <w:rFonts w:eastAsia="Calibri"/>
          <w:color w:val="auto"/>
          <w:vertAlign w:val="subscript"/>
          <w:lang w:val="en-US" w:eastAsia="en-US"/>
        </w:rPr>
        <w:t>1</w:t>
      </w:r>
      <w:r w:rsidRPr="007943A0">
        <w:rPr>
          <w:rFonts w:eastAsia="Calibri"/>
          <w:color w:val="auto"/>
          <w:lang w:val="en-US" w:eastAsia="en-US"/>
        </w:rPr>
        <w:t xml:space="preserve"> serisinin, Q</w:t>
      </w:r>
      <w:r w:rsidRPr="007943A0">
        <w:rPr>
          <w:rFonts w:eastAsia="Calibri"/>
          <w:color w:val="auto"/>
          <w:vertAlign w:val="subscript"/>
          <w:lang w:val="en-US" w:eastAsia="en-US"/>
        </w:rPr>
        <w:t>2</w:t>
      </w:r>
      <w:r w:rsidRPr="007943A0">
        <w:rPr>
          <w:rFonts w:eastAsia="Calibri"/>
          <w:color w:val="auto"/>
          <w:lang w:val="en-US" w:eastAsia="en-US"/>
        </w:rPr>
        <w:t xml:space="preserve"> serisinden daha iyi aktivite gösterdiği gözlemlenmiştir. </w:t>
      </w:r>
    </w:p>
    <w:p w14:paraId="687017B2" w14:textId="22641210" w:rsidR="007943A0" w:rsidRPr="007943A0" w:rsidRDefault="007943A0" w:rsidP="008F2DA3">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lastRenderedPageBreak/>
        <w:t>Bunun sonucu olarak amin kısmının alkil grubunun boyutunun, antibakteriyel aktivitenin belirlenmesinde önemli olabileceği düşünülmüştür. Bununla birlikte bağlı metil grubunun optimal göründüğü ancak metilamine başka bir metil grubunun eklenmesi veya metilin bir siklopropil grubu ile değiştirilmesi ile antibakteriyel aktivitenin azalmasına neden olduğu düşünülmüştür.</w:t>
      </w:r>
    </w:p>
    <w:p w14:paraId="2F49E939" w14:textId="77777777" w:rsidR="007943A0" w:rsidRPr="007943A0" w:rsidRDefault="007943A0" w:rsidP="008F2DA3">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 xml:space="preserve">Sentezlenen 2,6-diarlypiperidin- asetil türevlerinin antibakteriyel aktivitelerinin araştırılması amacıyla yapılan çalışmada ise MIC testi uygulanmış, Linezolid ve Trovafloksasin ilaçları pozitif kontrol olarak kullanılırken, DMSO negatif olarak kullanılmıştır. Test bileşikleri en fazla 128 </w:t>
      </w:r>
      <w:r w:rsidRPr="007943A0">
        <w:rPr>
          <w:rFonts w:ascii="Symbol" w:eastAsia="Calibri" w:hAnsi="Symbol"/>
          <w:color w:val="auto"/>
          <w:lang w:val="en-US" w:eastAsia="en-US"/>
        </w:rPr>
        <w:t></w:t>
      </w:r>
      <w:r w:rsidRPr="007943A0">
        <w:rPr>
          <w:rFonts w:eastAsia="Calibri"/>
          <w:color w:val="auto"/>
          <w:lang w:val="en-US" w:eastAsia="en-US"/>
        </w:rPr>
        <w:t xml:space="preserve">g / mL'lik  konsantrasyona kadar hazırlanmıştır. Bileşiklerin birkaçının </w:t>
      </w:r>
      <w:r w:rsidRPr="007943A0">
        <w:rPr>
          <w:rFonts w:eastAsia="Calibri"/>
          <w:i/>
          <w:color w:val="auto"/>
          <w:lang w:val="en-US" w:eastAsia="en-US"/>
        </w:rPr>
        <w:t>Staphylococcus aureus</w:t>
      </w:r>
      <w:r w:rsidRPr="007943A0">
        <w:rPr>
          <w:rFonts w:eastAsia="Calibri"/>
          <w:color w:val="auto"/>
          <w:lang w:val="en-US" w:eastAsia="en-US"/>
        </w:rPr>
        <w:t xml:space="preserve">'a, </w:t>
      </w:r>
      <w:r w:rsidRPr="007943A0">
        <w:rPr>
          <w:rFonts w:eastAsia="Calibri"/>
          <w:i/>
          <w:color w:val="auto"/>
          <w:lang w:val="en-US" w:eastAsia="en-US"/>
        </w:rPr>
        <w:t>Enterococcus faecalis</w:t>
      </w:r>
      <w:r w:rsidRPr="007943A0">
        <w:rPr>
          <w:rFonts w:eastAsia="Calibri"/>
          <w:color w:val="auto"/>
          <w:lang w:val="en-US" w:eastAsia="en-US"/>
        </w:rPr>
        <w:t xml:space="preserve">'e </w:t>
      </w:r>
      <w:r w:rsidRPr="007943A0">
        <w:rPr>
          <w:rFonts w:eastAsia="Calibri"/>
          <w:i/>
          <w:color w:val="auto"/>
          <w:lang w:val="en-US" w:eastAsia="en-US"/>
        </w:rPr>
        <w:t>ve Enterococcus faecium</w:t>
      </w:r>
      <w:r w:rsidRPr="007943A0">
        <w:rPr>
          <w:rFonts w:eastAsia="Calibri"/>
          <w:color w:val="auto"/>
          <w:lang w:val="en-US" w:eastAsia="en-US"/>
        </w:rPr>
        <w:t>'a karşı en düşük MIC</w:t>
      </w:r>
      <w:r w:rsidRPr="007943A0">
        <w:rPr>
          <w:rFonts w:eastAsia="Calibri"/>
          <w:color w:val="auto"/>
          <w:vertAlign w:val="subscript"/>
          <w:lang w:val="en-US" w:eastAsia="en-US"/>
        </w:rPr>
        <w:t>90</w:t>
      </w:r>
      <w:r w:rsidRPr="007943A0">
        <w:rPr>
          <w:rFonts w:eastAsia="Calibri"/>
          <w:color w:val="auto"/>
          <w:lang w:val="en-US" w:eastAsia="en-US"/>
        </w:rPr>
        <w:t xml:space="preserve"> değeri gösterdikleri ve en iyi şekilde inhibe ettikleri gözlemlenmiştir (16</w:t>
      </w:r>
      <w:r w:rsidRPr="007943A0">
        <w:rPr>
          <w:rFonts w:ascii="Symbol" w:eastAsia="Calibri" w:hAnsi="Symbol"/>
          <w:color w:val="auto"/>
          <w:lang w:val="en-US" w:eastAsia="en-US"/>
        </w:rPr>
        <w:t></w:t>
      </w:r>
      <w:r w:rsidRPr="007943A0">
        <w:rPr>
          <w:rFonts w:ascii="Symbol" w:eastAsia="Calibri" w:hAnsi="Symbol"/>
          <w:color w:val="auto"/>
          <w:lang w:val="en-US" w:eastAsia="en-US"/>
        </w:rPr>
        <w:t></w:t>
      </w:r>
      <w:r w:rsidRPr="007943A0">
        <w:rPr>
          <w:rFonts w:eastAsia="Calibri"/>
          <w:color w:val="auto"/>
          <w:lang w:val="en-US" w:eastAsia="en-US"/>
        </w:rPr>
        <w:t>g / mL).  (Aridoss vd.2008)</w:t>
      </w:r>
    </w:p>
    <w:p w14:paraId="4D713C73" w14:textId="7439FCAB" w:rsidR="00C47BF0" w:rsidRDefault="007943A0" w:rsidP="00513499">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 xml:space="preserve">Başka bir çalışmada; altı yeni piperidin türevi için, sentezlenen bileşiklerin antimikrobiyal aktiviteleri agar disk difüzyonu kullanılarak değerlendirildi. Etil 1- (4-metil-3- (triflorometil) fenil) -4- (4-metil-3- (triflorometil) fenilamino)-2,6-di (piridin-3-il) -1,2,5, 6-tetrahidro piridin-3-karboksilat bileşiği  en az antibakteriyel aktivite gösterdi. Metil 2,6-bis (4-siyanofenil) -1-p-tolil-4- (p-tolilamino) -1,2,5,6-tetrahidropiridin-3-karboksilat bileşiğinin, </w:t>
      </w:r>
      <w:r w:rsidRPr="007943A0">
        <w:rPr>
          <w:rFonts w:eastAsia="Calibri"/>
          <w:i/>
          <w:color w:val="auto"/>
          <w:lang w:val="en-US" w:eastAsia="en-US"/>
        </w:rPr>
        <w:t xml:space="preserve">B. cereus, E. coli, S. aureus, B. subtilus, P. aurenginosa, Kl pneumoniae </w:t>
      </w:r>
      <w:r w:rsidRPr="007943A0">
        <w:rPr>
          <w:rFonts w:eastAsia="Calibri"/>
          <w:color w:val="auto"/>
          <w:lang w:val="en-US" w:eastAsia="en-US"/>
        </w:rPr>
        <w:t xml:space="preserve">ve </w:t>
      </w:r>
      <w:r w:rsidRPr="007943A0">
        <w:rPr>
          <w:rFonts w:eastAsia="Calibri"/>
          <w:i/>
          <w:color w:val="auto"/>
          <w:lang w:val="en-US" w:eastAsia="en-US"/>
        </w:rPr>
        <w:t>M. luteus</w:t>
      </w:r>
      <w:r w:rsidRPr="007943A0">
        <w:rPr>
          <w:rFonts w:eastAsia="Calibri"/>
          <w:color w:val="auto"/>
          <w:lang w:val="en-US" w:eastAsia="en-US"/>
        </w:rPr>
        <w:t xml:space="preserve"> 'a karşı büyük inhibisyon etkileri ortaya çıkaran en güçlü inhibe edici aktivite (≥ 6 mm inhibisyon zon çapı)  ve </w:t>
      </w:r>
      <w:r w:rsidRPr="007943A0">
        <w:rPr>
          <w:rFonts w:eastAsia="Calibri"/>
          <w:i/>
          <w:color w:val="auto"/>
          <w:lang w:val="en-US" w:eastAsia="en-US"/>
        </w:rPr>
        <w:t>B. subtilus'</w:t>
      </w:r>
      <w:r w:rsidRPr="007943A0">
        <w:rPr>
          <w:rFonts w:eastAsia="Calibri"/>
          <w:color w:val="auto"/>
          <w:lang w:val="en-US" w:eastAsia="en-US"/>
        </w:rPr>
        <w:t xml:space="preserve">a karşı 0.75 mg / ml ve B. cereus, E. </w:t>
      </w:r>
      <w:r w:rsidRPr="00732932">
        <w:rPr>
          <w:rFonts w:eastAsia="Calibri"/>
          <w:i/>
          <w:color w:val="auto"/>
          <w:lang w:val="en-US" w:eastAsia="en-US"/>
        </w:rPr>
        <w:t>col</w:t>
      </w:r>
      <w:r w:rsidRPr="007943A0">
        <w:rPr>
          <w:rFonts w:eastAsia="Calibri"/>
          <w:color w:val="auto"/>
          <w:lang w:val="en-US" w:eastAsia="en-US"/>
        </w:rPr>
        <w:t xml:space="preserve">i, S. </w:t>
      </w:r>
      <w:r w:rsidRPr="00732932">
        <w:rPr>
          <w:rFonts w:eastAsia="Calibri"/>
          <w:i/>
          <w:color w:val="auto"/>
          <w:lang w:val="en-US" w:eastAsia="en-US"/>
        </w:rPr>
        <w:t>aureus</w:t>
      </w:r>
      <w:r w:rsidRPr="007943A0">
        <w:rPr>
          <w:rFonts w:eastAsia="Calibri"/>
          <w:color w:val="auto"/>
          <w:lang w:val="en-US" w:eastAsia="en-US"/>
        </w:rPr>
        <w:t xml:space="preserve">, P. </w:t>
      </w:r>
      <w:r w:rsidRPr="00732932">
        <w:rPr>
          <w:rFonts w:eastAsia="Calibri"/>
          <w:i/>
          <w:color w:val="auto"/>
          <w:lang w:val="en-US" w:eastAsia="en-US"/>
        </w:rPr>
        <w:t>aurenginosa</w:t>
      </w:r>
      <w:r w:rsidRPr="007943A0">
        <w:rPr>
          <w:rFonts w:eastAsia="Calibri"/>
          <w:color w:val="auto"/>
          <w:lang w:val="en-US" w:eastAsia="en-US"/>
        </w:rPr>
        <w:t xml:space="preserve">, Kl </w:t>
      </w:r>
      <w:r w:rsidRPr="00732932">
        <w:rPr>
          <w:rFonts w:eastAsia="Calibri"/>
          <w:i/>
          <w:color w:val="auto"/>
          <w:lang w:val="en-US" w:eastAsia="en-US"/>
        </w:rPr>
        <w:t>pneumoniae</w:t>
      </w:r>
      <w:r w:rsidRPr="007943A0">
        <w:rPr>
          <w:rFonts w:eastAsia="Calibri"/>
          <w:color w:val="auto"/>
          <w:lang w:val="en-US" w:eastAsia="en-US"/>
        </w:rPr>
        <w:t xml:space="preserve"> ve M. </w:t>
      </w:r>
      <w:r w:rsidRPr="00732932">
        <w:rPr>
          <w:rFonts w:eastAsia="Calibri"/>
          <w:i/>
          <w:color w:val="auto"/>
          <w:lang w:val="en-US" w:eastAsia="en-US"/>
        </w:rPr>
        <w:t>luteus</w:t>
      </w:r>
      <w:r w:rsidR="00732932">
        <w:rPr>
          <w:rFonts w:eastAsia="Calibri"/>
          <w:color w:val="auto"/>
          <w:lang w:val="en-US" w:eastAsia="en-US"/>
        </w:rPr>
        <w:t>’a karşı 1.5 mg</w:t>
      </w:r>
      <w:r w:rsidRPr="007943A0">
        <w:rPr>
          <w:rFonts w:eastAsia="Calibri"/>
          <w:color w:val="auto"/>
          <w:lang w:val="en-US" w:eastAsia="en-US"/>
        </w:rPr>
        <w:t>/ ml'lik en iyi minimum inhibe edici konsantrasy</w:t>
      </w:r>
      <w:r w:rsidR="00732932">
        <w:rPr>
          <w:rFonts w:eastAsia="Calibri"/>
          <w:color w:val="auto"/>
          <w:lang w:val="en-US" w:eastAsia="en-US"/>
        </w:rPr>
        <w:t>on (MIC) sonuçlarını sergiledi.</w:t>
      </w:r>
      <w:r w:rsidR="00513499">
        <w:rPr>
          <w:rFonts w:eastAsia="Calibri"/>
          <w:color w:val="auto"/>
          <w:lang w:val="en-US" w:eastAsia="en-US"/>
        </w:rPr>
        <w:t xml:space="preserve"> </w:t>
      </w:r>
      <w:r w:rsidRPr="007943A0">
        <w:rPr>
          <w:rFonts w:eastAsia="Calibri"/>
          <w:color w:val="auto"/>
          <w:lang w:val="en-US" w:eastAsia="en-US"/>
        </w:rPr>
        <w:t xml:space="preserve">Piperidin halkası üzerinde hem elektron veren hem de elektron çeken grupların antibakteriyel aktiviteyi arttırdığı belirtilmiştir (Naicker vd.2015). </w:t>
      </w:r>
    </w:p>
    <w:p w14:paraId="24E672E6" w14:textId="07E925CD" w:rsidR="007943A0" w:rsidRPr="00513499" w:rsidRDefault="007943A0" w:rsidP="00513499">
      <w:pPr>
        <w:widowControl w:val="0"/>
        <w:spacing w:after="0" w:line="360" w:lineRule="auto"/>
        <w:ind w:firstLine="567"/>
        <w:jc w:val="both"/>
        <w:rPr>
          <w:rFonts w:ascii="Calibri" w:eastAsia="Calibri" w:hAnsi="Calibri"/>
          <w:color w:val="auto"/>
          <w:sz w:val="22"/>
          <w:szCs w:val="22"/>
          <w:lang w:val="en-US" w:eastAsia="en-US"/>
        </w:rPr>
      </w:pPr>
      <w:r w:rsidRPr="007943A0">
        <w:rPr>
          <w:rFonts w:eastAsia="Calibri"/>
          <w:color w:val="auto"/>
          <w:lang w:val="en-US" w:eastAsia="en-US"/>
        </w:rPr>
        <w:t>Ravindernath ve Reddy (2013), fenil halkasında hidroksi, metil ve nitro ikameleri içeren piperidin türevlerinin, test edilen bakteri türlerine karşı yüksek antibakteriyel potansiyele neden olan önemli bir inhibisyonu ortaya çıkardığını belirtmişlerdir. Bu durum</w:t>
      </w:r>
      <w:r w:rsidR="00732932">
        <w:rPr>
          <w:rFonts w:eastAsia="Calibri"/>
          <w:color w:val="auto"/>
          <w:lang w:val="en-US" w:eastAsia="en-US"/>
        </w:rPr>
        <w:t>un</w:t>
      </w:r>
      <w:r w:rsidRPr="007943A0">
        <w:rPr>
          <w:rFonts w:eastAsia="Calibri"/>
          <w:color w:val="auto"/>
          <w:lang w:val="en-US" w:eastAsia="en-US"/>
        </w:rPr>
        <w:t>da çalışmada en yüksek antibakteriyel aktiviteyi sergilemesinin nedeni olarak söylenilebileceği bildirilmişti</w:t>
      </w:r>
      <w:r w:rsidR="00513499">
        <w:rPr>
          <w:rFonts w:eastAsia="Calibri"/>
          <w:color w:val="auto"/>
          <w:lang w:val="en-US" w:eastAsia="en-US"/>
        </w:rPr>
        <w:t xml:space="preserve">r (Ravindernath ve Reddy 2015). </w:t>
      </w:r>
      <w:r w:rsidRPr="007943A0">
        <w:rPr>
          <w:rFonts w:eastAsia="Calibri"/>
          <w:color w:val="auto"/>
          <w:lang w:val="en-US" w:eastAsia="en-US"/>
        </w:rPr>
        <w:t>1-(4-{[(5-ikameli-1,3,4-oksadiazol-2-il)tiyo]metil}benzensülfonil)-4-metilpiperidin türevleri sentezlenerek antibakteriyel etkileri incelenmiştir. Sentezlenen bileşiklerin çoğu, hemen hemen tüm türlere karşı (S</w:t>
      </w:r>
      <w:r w:rsidRPr="0058398D">
        <w:rPr>
          <w:rFonts w:eastAsia="Calibri"/>
          <w:i/>
          <w:color w:val="auto"/>
          <w:lang w:val="en-US" w:eastAsia="en-US"/>
        </w:rPr>
        <w:t>. typhi</w:t>
      </w:r>
      <w:r w:rsidRPr="007943A0">
        <w:rPr>
          <w:rFonts w:eastAsia="Calibri"/>
          <w:color w:val="auto"/>
          <w:lang w:val="en-US" w:eastAsia="en-US"/>
        </w:rPr>
        <w:t xml:space="preserve"> (-), E. </w:t>
      </w:r>
      <w:r w:rsidRPr="0058398D">
        <w:rPr>
          <w:rFonts w:eastAsia="Calibri"/>
          <w:i/>
          <w:color w:val="auto"/>
          <w:lang w:val="en-US" w:eastAsia="en-US"/>
        </w:rPr>
        <w:t>coli</w:t>
      </w:r>
      <w:r w:rsidRPr="007943A0">
        <w:rPr>
          <w:rFonts w:eastAsia="Calibri"/>
          <w:color w:val="auto"/>
          <w:lang w:val="en-US" w:eastAsia="en-US"/>
        </w:rPr>
        <w:t xml:space="preserve"> (-), P</w:t>
      </w:r>
      <w:r w:rsidRPr="0058398D">
        <w:rPr>
          <w:rFonts w:eastAsia="Calibri"/>
          <w:i/>
          <w:color w:val="auto"/>
          <w:lang w:val="en-US" w:eastAsia="en-US"/>
        </w:rPr>
        <w:t>. aeruginosa</w:t>
      </w:r>
      <w:r w:rsidRPr="007943A0">
        <w:rPr>
          <w:rFonts w:eastAsia="Calibri"/>
          <w:color w:val="auto"/>
          <w:lang w:val="en-US" w:eastAsia="en-US"/>
        </w:rPr>
        <w:t xml:space="preserve"> (-), B. </w:t>
      </w:r>
      <w:r w:rsidRPr="0058398D">
        <w:rPr>
          <w:rFonts w:eastAsia="Calibri"/>
          <w:i/>
          <w:color w:val="auto"/>
          <w:lang w:val="en-US" w:eastAsia="en-US"/>
        </w:rPr>
        <w:t>subtilis</w:t>
      </w:r>
      <w:r w:rsidRPr="007943A0">
        <w:rPr>
          <w:rFonts w:eastAsia="Calibri"/>
          <w:color w:val="auto"/>
          <w:lang w:val="en-US" w:eastAsia="en-US"/>
        </w:rPr>
        <w:t xml:space="preserve"> (+) ve S</w:t>
      </w:r>
      <w:r w:rsidRPr="0058398D">
        <w:rPr>
          <w:rFonts w:eastAsia="Calibri"/>
          <w:i/>
          <w:color w:val="auto"/>
          <w:lang w:val="en-US" w:eastAsia="en-US"/>
        </w:rPr>
        <w:t>. aureus</w:t>
      </w:r>
      <w:r w:rsidRPr="007943A0">
        <w:rPr>
          <w:rFonts w:eastAsia="Calibri"/>
          <w:color w:val="auto"/>
          <w:lang w:val="en-US" w:eastAsia="en-US"/>
        </w:rPr>
        <w:t xml:space="preserve"> (+)) </w:t>
      </w:r>
      <w:r w:rsidRPr="007943A0">
        <w:rPr>
          <w:rFonts w:eastAsia="Calibri"/>
          <w:color w:val="auto"/>
          <w:lang w:val="en-US" w:eastAsia="en-US"/>
        </w:rPr>
        <w:lastRenderedPageBreak/>
        <w:t>değerli sonuçlar g</w:t>
      </w:r>
      <w:r w:rsidR="00513499">
        <w:rPr>
          <w:rFonts w:eastAsia="Calibri"/>
          <w:color w:val="auto"/>
          <w:lang w:val="en-US" w:eastAsia="en-US"/>
        </w:rPr>
        <w:t xml:space="preserve">östermiştir. </w:t>
      </w:r>
      <w:r w:rsidRPr="007943A0">
        <w:rPr>
          <w:rFonts w:eastAsia="Calibri"/>
          <w:color w:val="auto"/>
          <w:lang w:val="en-US" w:eastAsia="en-US"/>
        </w:rPr>
        <w:t>Bileşikler içe</w:t>
      </w:r>
      <w:r w:rsidR="00732932">
        <w:rPr>
          <w:rFonts w:eastAsia="Calibri"/>
          <w:color w:val="auto"/>
          <w:lang w:val="en-US" w:eastAsia="en-US"/>
        </w:rPr>
        <w:t xml:space="preserve">risinde özellikle  fenil bağlı </w:t>
      </w:r>
      <w:r w:rsidRPr="007943A0">
        <w:rPr>
          <w:rFonts w:eastAsia="Calibri"/>
          <w:color w:val="auto"/>
          <w:lang w:val="en-US" w:eastAsia="en-US"/>
        </w:rPr>
        <w:t xml:space="preserve">1- (4 - {[(5-Fenil-1,3,4-oksadiazol-2-il) tiyo] metil} benzensülfonil) -4-metilpiperidin bileşiğinin  P. aeruginosa (-) dışındaki tüm suşlara karşı etkili inhibitör olduğu gözlenmiştir. Yine 1- [4 - ({[5- (2,4-Diklorofenil) -1,3,4-oksadiazol-2-il] tiyo} metil) benzensülfonil] -4-metilpiperidinbileşiği (6h), siprofloksasine göre 10.27 ± 0.68, 10.37 ± 0.17 ve 10.76 ± 0.10 μmol / L MIC değerleri ile S. </w:t>
      </w:r>
      <w:r w:rsidRPr="00F44FAD">
        <w:rPr>
          <w:rFonts w:eastAsia="Calibri"/>
          <w:i/>
          <w:color w:val="auto"/>
          <w:lang w:val="en-US" w:eastAsia="en-US"/>
        </w:rPr>
        <w:t xml:space="preserve">typhi </w:t>
      </w:r>
      <w:r w:rsidRPr="007943A0">
        <w:rPr>
          <w:rFonts w:eastAsia="Calibri"/>
          <w:color w:val="auto"/>
          <w:lang w:val="en-US" w:eastAsia="en-US"/>
        </w:rPr>
        <w:t xml:space="preserve">(-), B. </w:t>
      </w:r>
      <w:r w:rsidRPr="00F44FAD">
        <w:rPr>
          <w:rFonts w:eastAsia="Calibri"/>
          <w:i/>
          <w:color w:val="auto"/>
          <w:lang w:val="en-US" w:eastAsia="en-US"/>
        </w:rPr>
        <w:t>subtilis</w:t>
      </w:r>
      <w:r w:rsidRPr="007943A0">
        <w:rPr>
          <w:rFonts w:eastAsia="Calibri"/>
          <w:color w:val="auto"/>
          <w:lang w:val="en-US" w:eastAsia="en-US"/>
        </w:rPr>
        <w:t xml:space="preserve"> (+) ve S. </w:t>
      </w:r>
      <w:r w:rsidRPr="00F44FAD">
        <w:rPr>
          <w:rFonts w:eastAsia="Calibri"/>
          <w:i/>
          <w:color w:val="auto"/>
          <w:lang w:val="en-US" w:eastAsia="en-US"/>
        </w:rPr>
        <w:t>aureus</w:t>
      </w:r>
      <w:r w:rsidRPr="007943A0">
        <w:rPr>
          <w:rFonts w:eastAsia="Calibri"/>
          <w:color w:val="auto"/>
          <w:lang w:val="en-US" w:eastAsia="en-US"/>
        </w:rPr>
        <w:t xml:space="preserve"> (+) 'a karşı mükemmel inhibisyon potansiyeli sergilemişlerdir. Bileşiğin bakterilere karşı sırasıyla 7,83 ± 0,78, 7,22 ± 0,67 ve 7,00 ± 1,54 μmol / </w:t>
      </w:r>
      <w:r w:rsidRPr="007943A0">
        <w:rPr>
          <w:rFonts w:ascii="Symbol" w:eastAsia="Calibri" w:hAnsi="Symbol"/>
          <w:color w:val="auto"/>
          <w:lang w:val="en-US" w:eastAsia="en-US"/>
        </w:rPr>
        <w:t></w:t>
      </w:r>
      <w:r w:rsidRPr="007943A0">
        <w:rPr>
          <w:rFonts w:eastAsia="Calibri"/>
          <w:color w:val="auto"/>
          <w:lang w:val="en-US" w:eastAsia="en-US"/>
        </w:rPr>
        <w:t>g MIC değerlerine sahip olduğu belirlenmiştir. Bu molekülün daha iyi aktiviteye sahip olması durumunu, biyoaktif oksadiazol halkasına bağlı diklorofenil halkasının varlığına bağlanılabileceği bildirilmiştir (Rehman vd. 2017).</w:t>
      </w:r>
    </w:p>
    <w:p w14:paraId="7EC9590F" w14:textId="165BE26C" w:rsidR="00513499" w:rsidRDefault="007943A0" w:rsidP="00513499">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 xml:space="preserve">Pandey ve Chawla 2012 yaptığı çalışmasında 2,6-disübstitüe piperidin-4-on türevleri (4a-j) </w:t>
      </w:r>
      <w:r w:rsidRPr="000A12A1">
        <w:rPr>
          <w:rFonts w:eastAsia="Calibri"/>
          <w:color w:val="auto"/>
          <w:lang w:val="en-US" w:eastAsia="en-US"/>
        </w:rPr>
        <w:t>(Şekil 4.4)</w:t>
      </w:r>
      <w:r w:rsidRPr="007943A0">
        <w:rPr>
          <w:rFonts w:eastAsia="Calibri"/>
          <w:color w:val="auto"/>
          <w:lang w:val="en-US" w:eastAsia="en-US"/>
        </w:rPr>
        <w:t xml:space="preserve"> sentezlenerek, sentezlenen bileşiklerin antibakteriyel aktivitesi, </w:t>
      </w:r>
      <w:r w:rsidRPr="007943A0">
        <w:rPr>
          <w:rFonts w:eastAsia="Calibri"/>
          <w:i/>
          <w:color w:val="auto"/>
          <w:lang w:val="en-US" w:eastAsia="en-US"/>
        </w:rPr>
        <w:t>Staphylococcus aureus</w:t>
      </w:r>
      <w:r w:rsidRPr="007943A0">
        <w:rPr>
          <w:rFonts w:eastAsia="Calibri"/>
          <w:color w:val="auto"/>
          <w:lang w:val="en-US" w:eastAsia="en-US"/>
        </w:rPr>
        <w:t xml:space="preserve">, </w:t>
      </w:r>
      <w:r w:rsidRPr="007943A0">
        <w:rPr>
          <w:rFonts w:eastAsia="Calibri"/>
          <w:i/>
          <w:color w:val="auto"/>
          <w:lang w:val="en-US" w:eastAsia="en-US"/>
        </w:rPr>
        <w:t>Bacillus subtillis</w:t>
      </w:r>
      <w:r w:rsidRPr="007943A0">
        <w:rPr>
          <w:rFonts w:eastAsia="Calibri"/>
          <w:color w:val="auto"/>
          <w:lang w:val="en-US" w:eastAsia="en-US"/>
        </w:rPr>
        <w:t xml:space="preserve"> (Gram-pozitif) ve </w:t>
      </w:r>
      <w:r w:rsidRPr="007943A0">
        <w:rPr>
          <w:rFonts w:eastAsia="Calibri"/>
          <w:i/>
          <w:color w:val="auto"/>
          <w:lang w:val="en-US" w:eastAsia="en-US"/>
        </w:rPr>
        <w:t>Escherichia coli</w:t>
      </w:r>
      <w:r w:rsidRPr="007943A0">
        <w:rPr>
          <w:rFonts w:eastAsia="Calibri"/>
          <w:color w:val="auto"/>
          <w:lang w:val="en-US" w:eastAsia="en-US"/>
        </w:rPr>
        <w:t xml:space="preserve">, </w:t>
      </w:r>
      <w:r w:rsidRPr="007943A0">
        <w:rPr>
          <w:rFonts w:eastAsia="Calibri"/>
          <w:i/>
          <w:color w:val="auto"/>
          <w:lang w:val="en-US" w:eastAsia="en-US"/>
        </w:rPr>
        <w:t>Pseudomonas aerugenosa</w:t>
      </w:r>
      <w:r w:rsidRPr="007943A0">
        <w:rPr>
          <w:rFonts w:eastAsia="Calibri"/>
          <w:color w:val="auto"/>
          <w:lang w:val="en-US" w:eastAsia="en-US"/>
        </w:rPr>
        <w:t xml:space="preserve"> (Gram-negatif) olmak üzere dört farklı bakteri suşuna karşı agar difüzyon yöntemi kullanılarak incelenmiştir. </w:t>
      </w:r>
    </w:p>
    <w:p w14:paraId="5E09FE82" w14:textId="77777777" w:rsidR="00513499" w:rsidRDefault="00513499" w:rsidP="00513499">
      <w:pPr>
        <w:widowControl w:val="0"/>
        <w:spacing w:after="0" w:line="240" w:lineRule="auto"/>
        <w:ind w:firstLine="567"/>
        <w:jc w:val="both"/>
        <w:rPr>
          <w:rFonts w:eastAsia="Calibri"/>
          <w:color w:val="auto"/>
          <w:lang w:val="en-US" w:eastAsia="en-US"/>
        </w:rPr>
      </w:pPr>
    </w:p>
    <w:p w14:paraId="057AD741" w14:textId="77777777" w:rsidR="00513499" w:rsidRPr="007943A0" w:rsidRDefault="00513499" w:rsidP="00513499">
      <w:pPr>
        <w:widowControl w:val="0"/>
        <w:spacing w:after="0" w:line="240" w:lineRule="auto"/>
        <w:ind w:firstLine="567"/>
        <w:jc w:val="both"/>
        <w:rPr>
          <w:rFonts w:eastAsia="Calibri"/>
          <w:color w:val="auto"/>
          <w:lang w:val="en-US" w:eastAsia="en-US"/>
        </w:rPr>
      </w:pPr>
    </w:p>
    <w:tbl>
      <w:tblPr>
        <w:tblStyle w:val="TabloKlavuzu4"/>
        <w:tblW w:w="0" w:type="auto"/>
        <w:tblInd w:w="108" w:type="dxa"/>
        <w:tblLayout w:type="fixed"/>
        <w:tblLook w:val="04A0" w:firstRow="1" w:lastRow="0" w:firstColumn="1" w:lastColumn="0" w:noHBand="0" w:noVBand="1"/>
      </w:tblPr>
      <w:tblGrid>
        <w:gridCol w:w="2419"/>
        <w:gridCol w:w="1697"/>
        <w:gridCol w:w="2199"/>
        <w:gridCol w:w="2343"/>
      </w:tblGrid>
      <w:tr w:rsidR="007943A0" w:rsidRPr="007943A0" w14:paraId="24650F12" w14:textId="77777777" w:rsidTr="00014F1A">
        <w:trPr>
          <w:trHeight w:val="1180"/>
        </w:trPr>
        <w:tc>
          <w:tcPr>
            <w:tcW w:w="8657" w:type="dxa"/>
            <w:gridSpan w:val="4"/>
            <w:vAlign w:val="center"/>
          </w:tcPr>
          <w:p w14:paraId="4AA12DC1" w14:textId="77777777" w:rsidR="007943A0" w:rsidRPr="007943A0" w:rsidRDefault="007943A0" w:rsidP="007943A0">
            <w:pPr>
              <w:widowControl w:val="0"/>
              <w:spacing w:before="120" w:after="120" w:line="360" w:lineRule="auto"/>
              <w:ind w:firstLine="567"/>
              <w:jc w:val="center"/>
              <w:rPr>
                <w:b/>
                <w:lang w:val="en-US"/>
              </w:rPr>
            </w:pPr>
            <w:r w:rsidRPr="007943A0">
              <w:rPr>
                <w:noProof/>
              </w:rPr>
              <w:drawing>
                <wp:inline distT="0" distB="0" distL="0" distR="0" wp14:anchorId="35B85EFE" wp14:editId="24E2D2F3">
                  <wp:extent cx="946150" cy="596900"/>
                  <wp:effectExtent l="0" t="0" r="6350" b="0"/>
                  <wp:docPr id="75" name="Resim 75" descr="C:\Users\beyza\Desktop\res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eyza\Desktop\resim.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0452" cy="605923"/>
                          </a:xfrm>
                          <a:prstGeom prst="rect">
                            <a:avLst/>
                          </a:prstGeom>
                          <a:noFill/>
                          <a:ln>
                            <a:noFill/>
                          </a:ln>
                        </pic:spPr>
                      </pic:pic>
                    </a:graphicData>
                  </a:graphic>
                </wp:inline>
              </w:drawing>
            </w:r>
          </w:p>
        </w:tc>
      </w:tr>
      <w:tr w:rsidR="007943A0" w:rsidRPr="007943A0" w14:paraId="5ADD64BA" w14:textId="77777777" w:rsidTr="00014F1A">
        <w:trPr>
          <w:trHeight w:val="467"/>
        </w:trPr>
        <w:tc>
          <w:tcPr>
            <w:tcW w:w="2419" w:type="dxa"/>
          </w:tcPr>
          <w:p w14:paraId="53FFE3BB" w14:textId="77777777" w:rsidR="007943A0" w:rsidRPr="00230A84" w:rsidRDefault="007943A0" w:rsidP="007943A0">
            <w:pPr>
              <w:widowControl w:val="0"/>
              <w:spacing w:before="120" w:after="120" w:line="360" w:lineRule="auto"/>
              <w:jc w:val="center"/>
              <w:rPr>
                <w:rFonts w:ascii="Times New Roman" w:hAnsi="Times New Roman"/>
                <w:b/>
                <w:lang w:val="en-US"/>
              </w:rPr>
            </w:pPr>
            <w:r w:rsidRPr="00230A84">
              <w:rPr>
                <w:rFonts w:ascii="Times New Roman" w:hAnsi="Times New Roman"/>
                <w:b/>
                <w:lang w:val="en-US"/>
              </w:rPr>
              <w:t>Bileşik kod numarası</w:t>
            </w:r>
          </w:p>
        </w:tc>
        <w:tc>
          <w:tcPr>
            <w:tcW w:w="1697" w:type="dxa"/>
          </w:tcPr>
          <w:p w14:paraId="1AD04DA2" w14:textId="77777777" w:rsidR="007943A0" w:rsidRPr="00230A84" w:rsidRDefault="007943A0" w:rsidP="007943A0">
            <w:pPr>
              <w:widowControl w:val="0"/>
              <w:spacing w:before="120" w:after="120" w:line="360" w:lineRule="auto"/>
              <w:jc w:val="center"/>
              <w:rPr>
                <w:rFonts w:ascii="Times New Roman" w:hAnsi="Times New Roman"/>
                <w:b/>
                <w:lang w:val="en-US"/>
              </w:rPr>
            </w:pPr>
            <w:r w:rsidRPr="00230A84">
              <w:rPr>
                <w:rFonts w:ascii="Times New Roman" w:hAnsi="Times New Roman"/>
                <w:b/>
                <w:lang w:val="en-US"/>
              </w:rPr>
              <w:t>R grubu</w:t>
            </w:r>
          </w:p>
        </w:tc>
        <w:tc>
          <w:tcPr>
            <w:tcW w:w="2199" w:type="dxa"/>
          </w:tcPr>
          <w:p w14:paraId="443F0B61" w14:textId="77777777" w:rsidR="007943A0" w:rsidRPr="00230A84" w:rsidRDefault="007943A0" w:rsidP="007943A0">
            <w:pPr>
              <w:widowControl w:val="0"/>
              <w:spacing w:before="120" w:after="120" w:line="360" w:lineRule="auto"/>
              <w:jc w:val="center"/>
              <w:rPr>
                <w:rFonts w:ascii="Times New Roman" w:hAnsi="Times New Roman"/>
                <w:b/>
                <w:lang w:val="en-US"/>
              </w:rPr>
            </w:pPr>
            <w:r w:rsidRPr="00230A84">
              <w:rPr>
                <w:rFonts w:ascii="Times New Roman" w:hAnsi="Times New Roman"/>
                <w:b/>
                <w:lang w:val="en-US"/>
              </w:rPr>
              <w:t>Bileşik kod numarası</w:t>
            </w:r>
          </w:p>
        </w:tc>
        <w:tc>
          <w:tcPr>
            <w:tcW w:w="2343" w:type="dxa"/>
          </w:tcPr>
          <w:p w14:paraId="41A465AD" w14:textId="77777777" w:rsidR="007943A0" w:rsidRPr="00230A84" w:rsidRDefault="007943A0" w:rsidP="007943A0">
            <w:pPr>
              <w:widowControl w:val="0"/>
              <w:spacing w:before="120" w:after="120" w:line="360" w:lineRule="auto"/>
              <w:jc w:val="center"/>
              <w:rPr>
                <w:rFonts w:ascii="Times New Roman" w:hAnsi="Times New Roman"/>
                <w:b/>
                <w:lang w:val="en-US"/>
              </w:rPr>
            </w:pPr>
            <w:r w:rsidRPr="00230A84">
              <w:rPr>
                <w:rFonts w:ascii="Times New Roman" w:hAnsi="Times New Roman"/>
                <w:b/>
                <w:lang w:val="en-US"/>
              </w:rPr>
              <w:t>R grubu</w:t>
            </w:r>
          </w:p>
        </w:tc>
      </w:tr>
      <w:tr w:rsidR="007943A0" w:rsidRPr="007943A0" w14:paraId="1CDBC37C" w14:textId="77777777" w:rsidTr="00014F1A">
        <w:trPr>
          <w:trHeight w:val="445"/>
        </w:trPr>
        <w:tc>
          <w:tcPr>
            <w:tcW w:w="2419" w:type="dxa"/>
          </w:tcPr>
          <w:p w14:paraId="7A6E2D53" w14:textId="77777777" w:rsidR="007943A0" w:rsidRPr="00230A84" w:rsidRDefault="007943A0" w:rsidP="007943A0">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4a</w:t>
            </w:r>
          </w:p>
        </w:tc>
        <w:tc>
          <w:tcPr>
            <w:tcW w:w="1697" w:type="dxa"/>
          </w:tcPr>
          <w:p w14:paraId="6FCDCFB9" w14:textId="77777777" w:rsidR="007943A0" w:rsidRPr="00230A84" w:rsidRDefault="007943A0" w:rsidP="007943A0">
            <w:pPr>
              <w:widowControl w:val="0"/>
              <w:spacing w:before="120" w:after="120" w:line="360" w:lineRule="auto"/>
              <w:jc w:val="center"/>
              <w:rPr>
                <w:rFonts w:ascii="Times New Roman" w:hAnsi="Times New Roman"/>
                <w:sz w:val="20"/>
                <w:szCs w:val="20"/>
                <w:lang w:val="en-US"/>
              </w:rPr>
            </w:pPr>
            <w:r w:rsidRPr="00230A84">
              <w:rPr>
                <w:rFonts w:ascii="Times New Roman" w:hAnsi="Times New Roman"/>
                <w:sz w:val="20"/>
                <w:szCs w:val="20"/>
                <w:lang w:val="en-US"/>
              </w:rPr>
              <w:t>4-Cl</w:t>
            </w:r>
          </w:p>
        </w:tc>
        <w:tc>
          <w:tcPr>
            <w:tcW w:w="2199" w:type="dxa"/>
          </w:tcPr>
          <w:p w14:paraId="45A6CEBD" w14:textId="77777777" w:rsidR="007943A0" w:rsidRPr="00230A84" w:rsidRDefault="007943A0" w:rsidP="007943A0">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4f</w:t>
            </w:r>
          </w:p>
        </w:tc>
        <w:tc>
          <w:tcPr>
            <w:tcW w:w="2343" w:type="dxa"/>
          </w:tcPr>
          <w:p w14:paraId="2B55FD1B" w14:textId="77777777" w:rsidR="007943A0" w:rsidRPr="00230A84" w:rsidRDefault="007943A0" w:rsidP="007943A0">
            <w:pPr>
              <w:widowControl w:val="0"/>
              <w:spacing w:before="120" w:after="120" w:line="360" w:lineRule="auto"/>
              <w:ind w:firstLine="567"/>
              <w:jc w:val="both"/>
              <w:rPr>
                <w:rFonts w:ascii="Times New Roman" w:hAnsi="Times New Roman"/>
                <w:sz w:val="20"/>
                <w:szCs w:val="20"/>
                <w:lang w:val="en-US"/>
              </w:rPr>
            </w:pPr>
            <w:r w:rsidRPr="00230A84">
              <w:rPr>
                <w:rFonts w:ascii="Times New Roman" w:hAnsi="Times New Roman"/>
                <w:sz w:val="20"/>
                <w:szCs w:val="20"/>
                <w:lang w:val="en-US"/>
              </w:rPr>
              <w:t>N(CH</w:t>
            </w:r>
            <w:r w:rsidRPr="00230A84">
              <w:rPr>
                <w:rFonts w:ascii="Times New Roman" w:hAnsi="Times New Roman"/>
                <w:sz w:val="20"/>
                <w:szCs w:val="20"/>
                <w:vertAlign w:val="subscript"/>
                <w:lang w:val="en-US"/>
              </w:rPr>
              <w:t>3</w:t>
            </w:r>
            <w:r w:rsidRPr="00230A84">
              <w:rPr>
                <w:rFonts w:ascii="Times New Roman" w:hAnsi="Times New Roman"/>
                <w:sz w:val="20"/>
                <w:szCs w:val="20"/>
                <w:lang w:val="en-US"/>
              </w:rPr>
              <w:t>)</w:t>
            </w:r>
            <w:r w:rsidRPr="00230A84">
              <w:rPr>
                <w:rFonts w:ascii="Times New Roman" w:hAnsi="Times New Roman"/>
                <w:sz w:val="20"/>
                <w:szCs w:val="20"/>
                <w:vertAlign w:val="subscript"/>
                <w:lang w:val="en-US"/>
              </w:rPr>
              <w:t>2</w:t>
            </w:r>
          </w:p>
        </w:tc>
      </w:tr>
      <w:tr w:rsidR="007943A0" w:rsidRPr="007943A0" w14:paraId="77EB52A0" w14:textId="77777777" w:rsidTr="00014F1A">
        <w:trPr>
          <w:trHeight w:val="440"/>
        </w:trPr>
        <w:tc>
          <w:tcPr>
            <w:tcW w:w="2419" w:type="dxa"/>
          </w:tcPr>
          <w:p w14:paraId="35E73B3F" w14:textId="77777777" w:rsidR="007943A0" w:rsidRPr="00230A84" w:rsidRDefault="007943A0" w:rsidP="007943A0">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4b</w:t>
            </w:r>
          </w:p>
        </w:tc>
        <w:tc>
          <w:tcPr>
            <w:tcW w:w="1697" w:type="dxa"/>
          </w:tcPr>
          <w:p w14:paraId="02D8B981" w14:textId="77777777" w:rsidR="007943A0" w:rsidRPr="00230A84" w:rsidRDefault="007943A0" w:rsidP="007943A0">
            <w:pPr>
              <w:widowControl w:val="0"/>
              <w:spacing w:before="120" w:after="120" w:line="360" w:lineRule="auto"/>
              <w:jc w:val="center"/>
              <w:rPr>
                <w:rFonts w:ascii="Times New Roman" w:hAnsi="Times New Roman"/>
                <w:sz w:val="20"/>
                <w:szCs w:val="20"/>
                <w:lang w:val="en-US"/>
              </w:rPr>
            </w:pPr>
            <w:r w:rsidRPr="00230A84">
              <w:rPr>
                <w:rFonts w:ascii="Times New Roman" w:hAnsi="Times New Roman"/>
                <w:sz w:val="20"/>
                <w:szCs w:val="20"/>
                <w:lang w:val="en-US"/>
              </w:rPr>
              <w:t>4-OCH3</w:t>
            </w:r>
          </w:p>
        </w:tc>
        <w:tc>
          <w:tcPr>
            <w:tcW w:w="2199" w:type="dxa"/>
          </w:tcPr>
          <w:p w14:paraId="4F5146A1" w14:textId="77777777" w:rsidR="007943A0" w:rsidRPr="00230A84" w:rsidRDefault="007943A0" w:rsidP="007943A0">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4g</w:t>
            </w:r>
          </w:p>
        </w:tc>
        <w:tc>
          <w:tcPr>
            <w:tcW w:w="2343" w:type="dxa"/>
          </w:tcPr>
          <w:p w14:paraId="7C0F743D" w14:textId="77777777" w:rsidR="007943A0" w:rsidRPr="00230A84" w:rsidRDefault="007943A0" w:rsidP="007943A0">
            <w:pPr>
              <w:widowControl w:val="0"/>
              <w:spacing w:before="120" w:after="120" w:line="360" w:lineRule="auto"/>
              <w:ind w:firstLine="567"/>
              <w:jc w:val="both"/>
              <w:rPr>
                <w:rFonts w:ascii="Times New Roman" w:hAnsi="Times New Roman"/>
                <w:sz w:val="20"/>
                <w:szCs w:val="20"/>
                <w:lang w:val="en-US"/>
              </w:rPr>
            </w:pPr>
            <w:r w:rsidRPr="00230A84">
              <w:rPr>
                <w:rFonts w:ascii="Times New Roman" w:hAnsi="Times New Roman"/>
                <w:sz w:val="20"/>
                <w:szCs w:val="20"/>
                <w:lang w:val="en-US"/>
              </w:rPr>
              <w:t>3-NO</w:t>
            </w:r>
            <w:r w:rsidRPr="00230A84">
              <w:rPr>
                <w:rFonts w:ascii="Times New Roman" w:hAnsi="Times New Roman"/>
                <w:sz w:val="20"/>
                <w:szCs w:val="20"/>
                <w:vertAlign w:val="subscript"/>
                <w:lang w:val="en-US"/>
              </w:rPr>
              <w:t>2</w:t>
            </w:r>
          </w:p>
        </w:tc>
      </w:tr>
      <w:tr w:rsidR="007943A0" w:rsidRPr="007943A0" w14:paraId="398E5D7D" w14:textId="77777777" w:rsidTr="00014F1A">
        <w:trPr>
          <w:trHeight w:val="445"/>
        </w:trPr>
        <w:tc>
          <w:tcPr>
            <w:tcW w:w="2419" w:type="dxa"/>
          </w:tcPr>
          <w:p w14:paraId="19CDB7BE" w14:textId="77777777" w:rsidR="007943A0" w:rsidRPr="00230A84" w:rsidRDefault="007943A0" w:rsidP="007943A0">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4c</w:t>
            </w:r>
          </w:p>
        </w:tc>
        <w:tc>
          <w:tcPr>
            <w:tcW w:w="1697" w:type="dxa"/>
          </w:tcPr>
          <w:p w14:paraId="040EB1FE" w14:textId="77777777" w:rsidR="007943A0" w:rsidRPr="00230A84" w:rsidRDefault="007943A0" w:rsidP="007943A0">
            <w:pPr>
              <w:widowControl w:val="0"/>
              <w:spacing w:before="120" w:after="120" w:line="360" w:lineRule="auto"/>
              <w:jc w:val="center"/>
              <w:rPr>
                <w:rFonts w:ascii="Times New Roman" w:hAnsi="Times New Roman"/>
                <w:sz w:val="20"/>
                <w:szCs w:val="20"/>
                <w:lang w:val="en-US"/>
              </w:rPr>
            </w:pPr>
            <w:r w:rsidRPr="00230A84">
              <w:rPr>
                <w:rFonts w:ascii="Times New Roman" w:hAnsi="Times New Roman"/>
                <w:sz w:val="20"/>
                <w:szCs w:val="20"/>
                <w:lang w:val="en-US"/>
              </w:rPr>
              <w:t>4-F</w:t>
            </w:r>
          </w:p>
        </w:tc>
        <w:tc>
          <w:tcPr>
            <w:tcW w:w="2199" w:type="dxa"/>
          </w:tcPr>
          <w:p w14:paraId="42CF1911" w14:textId="77777777" w:rsidR="007943A0" w:rsidRPr="00230A84" w:rsidRDefault="007943A0" w:rsidP="007943A0">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4h</w:t>
            </w:r>
          </w:p>
        </w:tc>
        <w:tc>
          <w:tcPr>
            <w:tcW w:w="2343" w:type="dxa"/>
          </w:tcPr>
          <w:p w14:paraId="1E017912" w14:textId="77777777" w:rsidR="007943A0" w:rsidRPr="00230A84" w:rsidRDefault="007943A0" w:rsidP="007943A0">
            <w:pPr>
              <w:widowControl w:val="0"/>
              <w:spacing w:before="120" w:after="120" w:line="360" w:lineRule="auto"/>
              <w:ind w:firstLine="567"/>
              <w:jc w:val="both"/>
              <w:rPr>
                <w:rFonts w:ascii="Times New Roman" w:hAnsi="Times New Roman"/>
                <w:sz w:val="20"/>
                <w:szCs w:val="20"/>
                <w:lang w:val="en-US"/>
              </w:rPr>
            </w:pPr>
            <w:r w:rsidRPr="00230A84">
              <w:rPr>
                <w:rFonts w:ascii="Times New Roman" w:hAnsi="Times New Roman"/>
                <w:sz w:val="20"/>
                <w:szCs w:val="20"/>
                <w:lang w:val="en-US"/>
              </w:rPr>
              <w:t>2-NO</w:t>
            </w:r>
            <w:r w:rsidRPr="00230A84">
              <w:rPr>
                <w:rFonts w:ascii="Times New Roman" w:hAnsi="Times New Roman"/>
                <w:sz w:val="20"/>
                <w:szCs w:val="20"/>
                <w:vertAlign w:val="subscript"/>
                <w:lang w:val="en-US"/>
              </w:rPr>
              <w:t>2</w:t>
            </w:r>
          </w:p>
        </w:tc>
      </w:tr>
      <w:tr w:rsidR="007943A0" w:rsidRPr="007943A0" w14:paraId="66E3C79E" w14:textId="77777777" w:rsidTr="00014F1A">
        <w:trPr>
          <w:trHeight w:val="440"/>
        </w:trPr>
        <w:tc>
          <w:tcPr>
            <w:tcW w:w="2419" w:type="dxa"/>
          </w:tcPr>
          <w:p w14:paraId="25A555DC" w14:textId="77777777" w:rsidR="007943A0" w:rsidRPr="00230A84" w:rsidRDefault="007943A0" w:rsidP="007943A0">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4d</w:t>
            </w:r>
          </w:p>
        </w:tc>
        <w:tc>
          <w:tcPr>
            <w:tcW w:w="1697" w:type="dxa"/>
          </w:tcPr>
          <w:p w14:paraId="52DB9D68" w14:textId="77777777" w:rsidR="007943A0" w:rsidRPr="00230A84" w:rsidRDefault="007943A0" w:rsidP="007943A0">
            <w:pPr>
              <w:widowControl w:val="0"/>
              <w:spacing w:before="120" w:after="120" w:line="360" w:lineRule="auto"/>
              <w:jc w:val="center"/>
              <w:rPr>
                <w:rFonts w:ascii="Times New Roman" w:hAnsi="Times New Roman"/>
                <w:sz w:val="20"/>
                <w:szCs w:val="20"/>
                <w:lang w:val="en-US"/>
              </w:rPr>
            </w:pPr>
            <w:r w:rsidRPr="00230A84">
              <w:rPr>
                <w:rFonts w:ascii="Times New Roman" w:hAnsi="Times New Roman"/>
                <w:sz w:val="20"/>
                <w:szCs w:val="20"/>
                <w:lang w:val="en-US"/>
              </w:rPr>
              <w:t>3-OC</w:t>
            </w:r>
            <w:r w:rsidRPr="00230A84">
              <w:rPr>
                <w:rFonts w:ascii="Times New Roman" w:hAnsi="Times New Roman"/>
                <w:sz w:val="20"/>
                <w:szCs w:val="20"/>
                <w:vertAlign w:val="subscript"/>
                <w:lang w:val="en-US"/>
              </w:rPr>
              <w:t>2</w:t>
            </w:r>
            <w:r w:rsidRPr="00230A84">
              <w:rPr>
                <w:rFonts w:ascii="Times New Roman" w:hAnsi="Times New Roman"/>
                <w:sz w:val="20"/>
                <w:szCs w:val="20"/>
                <w:lang w:val="en-US"/>
              </w:rPr>
              <w:t>H</w:t>
            </w:r>
            <w:r w:rsidRPr="00230A84">
              <w:rPr>
                <w:rFonts w:ascii="Times New Roman" w:hAnsi="Times New Roman"/>
                <w:sz w:val="20"/>
                <w:szCs w:val="20"/>
                <w:vertAlign w:val="subscript"/>
                <w:lang w:val="en-US"/>
              </w:rPr>
              <w:t>5</w:t>
            </w:r>
            <w:r w:rsidRPr="00230A84">
              <w:rPr>
                <w:rFonts w:ascii="Times New Roman" w:hAnsi="Times New Roman"/>
                <w:sz w:val="20"/>
                <w:szCs w:val="20"/>
                <w:lang w:val="en-US"/>
              </w:rPr>
              <w:t>, 4-OH</w:t>
            </w:r>
          </w:p>
        </w:tc>
        <w:tc>
          <w:tcPr>
            <w:tcW w:w="2199" w:type="dxa"/>
          </w:tcPr>
          <w:p w14:paraId="4E32795E" w14:textId="77777777" w:rsidR="007943A0" w:rsidRPr="00230A84" w:rsidRDefault="007943A0" w:rsidP="007943A0">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4i</w:t>
            </w:r>
          </w:p>
        </w:tc>
        <w:tc>
          <w:tcPr>
            <w:tcW w:w="2343" w:type="dxa"/>
          </w:tcPr>
          <w:p w14:paraId="0166FC25" w14:textId="77777777" w:rsidR="007943A0" w:rsidRPr="00230A84" w:rsidRDefault="007943A0" w:rsidP="007943A0">
            <w:pPr>
              <w:widowControl w:val="0"/>
              <w:spacing w:before="120" w:after="120" w:line="360" w:lineRule="auto"/>
              <w:ind w:firstLine="567"/>
              <w:jc w:val="both"/>
              <w:rPr>
                <w:rFonts w:ascii="Times New Roman" w:hAnsi="Times New Roman"/>
                <w:sz w:val="20"/>
                <w:szCs w:val="20"/>
                <w:lang w:val="en-US"/>
              </w:rPr>
            </w:pPr>
            <w:r w:rsidRPr="00230A84">
              <w:rPr>
                <w:rFonts w:ascii="Times New Roman" w:hAnsi="Times New Roman"/>
                <w:sz w:val="20"/>
                <w:szCs w:val="20"/>
                <w:lang w:val="en-US"/>
              </w:rPr>
              <w:t>3-Cl</w:t>
            </w:r>
          </w:p>
        </w:tc>
      </w:tr>
      <w:tr w:rsidR="007943A0" w:rsidRPr="007943A0" w14:paraId="0505D3B5" w14:textId="77777777" w:rsidTr="00014F1A">
        <w:trPr>
          <w:trHeight w:val="475"/>
        </w:trPr>
        <w:tc>
          <w:tcPr>
            <w:tcW w:w="2419" w:type="dxa"/>
          </w:tcPr>
          <w:p w14:paraId="4B6DF0BC" w14:textId="77777777" w:rsidR="007943A0" w:rsidRPr="00230A84" w:rsidRDefault="007943A0" w:rsidP="007943A0">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4e</w:t>
            </w:r>
          </w:p>
        </w:tc>
        <w:tc>
          <w:tcPr>
            <w:tcW w:w="1697" w:type="dxa"/>
          </w:tcPr>
          <w:p w14:paraId="53B936A9" w14:textId="77777777" w:rsidR="007943A0" w:rsidRPr="00230A84" w:rsidRDefault="007943A0" w:rsidP="007943A0">
            <w:pPr>
              <w:widowControl w:val="0"/>
              <w:spacing w:before="120" w:after="120" w:line="360" w:lineRule="auto"/>
              <w:jc w:val="center"/>
              <w:rPr>
                <w:rFonts w:ascii="Times New Roman" w:hAnsi="Times New Roman"/>
                <w:sz w:val="20"/>
                <w:szCs w:val="20"/>
                <w:lang w:val="en-US"/>
              </w:rPr>
            </w:pPr>
            <w:r w:rsidRPr="00230A84">
              <w:rPr>
                <w:rFonts w:ascii="Times New Roman" w:hAnsi="Times New Roman"/>
                <w:sz w:val="20"/>
                <w:szCs w:val="20"/>
                <w:lang w:val="en-US"/>
              </w:rPr>
              <w:t>3-OCH</w:t>
            </w:r>
            <w:r w:rsidRPr="00230A84">
              <w:rPr>
                <w:rFonts w:ascii="Times New Roman" w:hAnsi="Times New Roman"/>
                <w:sz w:val="20"/>
                <w:szCs w:val="20"/>
                <w:vertAlign w:val="subscript"/>
                <w:lang w:val="en-US"/>
              </w:rPr>
              <w:t>3</w:t>
            </w:r>
            <w:r w:rsidRPr="00230A84">
              <w:rPr>
                <w:rFonts w:ascii="Times New Roman" w:hAnsi="Times New Roman"/>
                <w:sz w:val="20"/>
                <w:szCs w:val="20"/>
                <w:lang w:val="en-US"/>
              </w:rPr>
              <w:t>, 4-OH</w:t>
            </w:r>
          </w:p>
        </w:tc>
        <w:tc>
          <w:tcPr>
            <w:tcW w:w="2199" w:type="dxa"/>
          </w:tcPr>
          <w:p w14:paraId="0372CD7C" w14:textId="77777777" w:rsidR="007943A0" w:rsidRPr="00230A84" w:rsidRDefault="007943A0" w:rsidP="007943A0">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4j</w:t>
            </w:r>
          </w:p>
        </w:tc>
        <w:tc>
          <w:tcPr>
            <w:tcW w:w="2343" w:type="dxa"/>
          </w:tcPr>
          <w:p w14:paraId="6641CA96" w14:textId="77777777" w:rsidR="007943A0" w:rsidRPr="00230A84" w:rsidRDefault="007943A0" w:rsidP="007943A0">
            <w:pPr>
              <w:widowControl w:val="0"/>
              <w:spacing w:before="120" w:after="120" w:line="360" w:lineRule="auto"/>
              <w:ind w:firstLine="567"/>
              <w:rPr>
                <w:rFonts w:ascii="Times New Roman" w:hAnsi="Times New Roman"/>
                <w:sz w:val="20"/>
                <w:szCs w:val="20"/>
                <w:lang w:val="en-US"/>
              </w:rPr>
            </w:pPr>
            <w:r w:rsidRPr="00230A84">
              <w:rPr>
                <w:rFonts w:ascii="Times New Roman" w:hAnsi="Times New Roman"/>
                <w:sz w:val="20"/>
                <w:szCs w:val="20"/>
                <w:lang w:val="en-US"/>
              </w:rPr>
              <w:t>2-Ar</w:t>
            </w:r>
          </w:p>
        </w:tc>
      </w:tr>
    </w:tbl>
    <w:p w14:paraId="3BB4350B" w14:textId="77777777" w:rsidR="000C1FEE" w:rsidRDefault="000C1FEE" w:rsidP="00C66CD9">
      <w:pPr>
        <w:widowControl w:val="0"/>
        <w:spacing w:after="0" w:line="240" w:lineRule="auto"/>
        <w:ind w:left="964" w:hanging="964"/>
        <w:rPr>
          <w:rFonts w:eastAsia="Calibri"/>
          <w:color w:val="auto"/>
          <w:lang w:val="en-US" w:eastAsia="en-US"/>
        </w:rPr>
      </w:pPr>
    </w:p>
    <w:p w14:paraId="34AB830E" w14:textId="3CBE1DD2" w:rsidR="00113F90" w:rsidRDefault="007943A0" w:rsidP="00C66CD9">
      <w:pPr>
        <w:widowControl w:val="0"/>
        <w:spacing w:after="0" w:line="240" w:lineRule="auto"/>
        <w:ind w:left="964" w:hanging="964"/>
        <w:rPr>
          <w:rFonts w:eastAsia="Calibri"/>
          <w:color w:val="auto"/>
          <w:lang w:val="en-US" w:eastAsia="en-US"/>
        </w:rPr>
      </w:pPr>
      <w:r w:rsidRPr="00C425E6">
        <w:rPr>
          <w:rFonts w:eastAsia="Calibri"/>
          <w:color w:val="auto"/>
          <w:lang w:val="en-US" w:eastAsia="en-US"/>
        </w:rPr>
        <w:t>Şekil 4.4</w:t>
      </w:r>
      <w:r w:rsidRPr="007943A0">
        <w:rPr>
          <w:rFonts w:eastAsia="Calibri"/>
          <w:color w:val="auto"/>
          <w:lang w:val="en-US" w:eastAsia="en-US"/>
        </w:rPr>
        <w:t xml:space="preserve">. 2,6-disübstitüe piperidin-4-on bileşiği genel yapısı ve bileşik kod numaraları  ve </w:t>
      </w:r>
      <w:r w:rsidR="000524E6">
        <w:rPr>
          <w:rFonts w:eastAsia="Calibri"/>
          <w:color w:val="auto"/>
          <w:lang w:val="en-US" w:eastAsia="en-US"/>
        </w:rPr>
        <w:t xml:space="preserve"> </w:t>
      </w:r>
      <w:r w:rsidRPr="007943A0">
        <w:rPr>
          <w:rFonts w:eastAsia="Calibri"/>
          <w:color w:val="auto"/>
          <w:lang w:val="en-US" w:eastAsia="en-US"/>
        </w:rPr>
        <w:t>R grupları</w:t>
      </w:r>
      <w:r w:rsidRPr="007943A0">
        <w:rPr>
          <w:rFonts w:ascii="Calibri" w:eastAsia="Calibri" w:hAnsi="Calibri"/>
          <w:color w:val="auto"/>
          <w:sz w:val="22"/>
          <w:szCs w:val="22"/>
          <w:lang w:val="en-US" w:eastAsia="en-US"/>
        </w:rPr>
        <w:t xml:space="preserve">  (</w:t>
      </w:r>
      <w:r w:rsidRPr="007943A0">
        <w:rPr>
          <w:rFonts w:eastAsia="Calibri"/>
          <w:color w:val="auto"/>
          <w:lang w:val="en-US" w:eastAsia="en-US"/>
        </w:rPr>
        <w:t>Pandey ve Chawla 2012)</w:t>
      </w:r>
    </w:p>
    <w:p w14:paraId="648AC2C6" w14:textId="77777777" w:rsidR="00C66CD9" w:rsidRDefault="00C66CD9" w:rsidP="00C66CD9">
      <w:pPr>
        <w:widowControl w:val="0"/>
        <w:spacing w:after="0" w:line="240" w:lineRule="auto"/>
        <w:ind w:left="964" w:hanging="964"/>
        <w:rPr>
          <w:rFonts w:eastAsia="Calibri"/>
          <w:color w:val="auto"/>
          <w:lang w:val="en-US" w:eastAsia="en-US"/>
        </w:rPr>
      </w:pPr>
    </w:p>
    <w:p w14:paraId="3A5F1CB1" w14:textId="77777777" w:rsidR="00C66CD9" w:rsidRDefault="00C66CD9" w:rsidP="00C66CD9">
      <w:pPr>
        <w:widowControl w:val="0"/>
        <w:spacing w:after="0" w:line="240" w:lineRule="auto"/>
        <w:ind w:left="964" w:hanging="964"/>
        <w:rPr>
          <w:rFonts w:eastAsia="Calibri"/>
          <w:color w:val="auto"/>
          <w:lang w:val="en-US" w:eastAsia="en-US"/>
        </w:rPr>
      </w:pPr>
    </w:p>
    <w:p w14:paraId="07A47D40" w14:textId="77777777" w:rsidR="00513499" w:rsidRDefault="00513499" w:rsidP="00513499">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Çalışmada test bileşiklerinin hem gram pozitif hem de gram negatif organizmalara karşı aktif olduğu bulunmuştur. Bu bileşikler arasında (10-100</w:t>
      </w:r>
      <w:r w:rsidRPr="007943A0">
        <w:rPr>
          <w:rFonts w:ascii="Symbol" w:eastAsia="Calibri" w:hAnsi="Symbol"/>
          <w:color w:val="auto"/>
          <w:lang w:val="en-US" w:eastAsia="en-US"/>
        </w:rPr>
        <w:t></w:t>
      </w:r>
      <w:r>
        <w:rPr>
          <w:rFonts w:eastAsia="Calibri"/>
          <w:color w:val="auto"/>
          <w:lang w:val="en-US" w:eastAsia="en-US"/>
        </w:rPr>
        <w:t xml:space="preserve">g/ml) </w:t>
      </w:r>
      <w:r w:rsidRPr="007943A0">
        <w:rPr>
          <w:rFonts w:eastAsia="Calibri"/>
          <w:color w:val="auto"/>
          <w:lang w:val="en-US" w:eastAsia="en-US"/>
        </w:rPr>
        <w:t>tüm bakteriler için zon çapları (mm) en fazla bulunan 4a, 4b, 4d, 4e, 4f ve 4g (Şekil 4.4.) bileşiklerinin güçlü anti bakteriyel</w:t>
      </w:r>
      <w:r>
        <w:rPr>
          <w:rFonts w:eastAsia="Calibri"/>
          <w:color w:val="auto"/>
          <w:lang w:val="en-US" w:eastAsia="en-US"/>
        </w:rPr>
        <w:t xml:space="preserve"> maddeler olduğu gözlenmiştir.</w:t>
      </w:r>
    </w:p>
    <w:p w14:paraId="32CF747F" w14:textId="77777777" w:rsidR="00113F90" w:rsidRPr="007943A0" w:rsidRDefault="00113F90" w:rsidP="00113F90">
      <w:pPr>
        <w:widowControl w:val="0"/>
        <w:spacing w:after="0" w:line="240" w:lineRule="auto"/>
        <w:ind w:left="964" w:hanging="964"/>
        <w:rPr>
          <w:rFonts w:eastAsia="Calibri"/>
          <w:color w:val="auto"/>
          <w:lang w:val="en-US" w:eastAsia="en-US"/>
        </w:rPr>
      </w:pPr>
    </w:p>
    <w:p w14:paraId="36A602BF" w14:textId="3466FDCE" w:rsidR="007943A0" w:rsidRPr="007943A0" w:rsidRDefault="00732932" w:rsidP="008F2DA3">
      <w:pPr>
        <w:widowControl w:val="0"/>
        <w:spacing w:after="0" w:line="360" w:lineRule="auto"/>
        <w:ind w:firstLine="567"/>
        <w:jc w:val="both"/>
        <w:rPr>
          <w:rFonts w:eastAsia="Calibri"/>
          <w:color w:val="auto"/>
          <w:lang w:val="en-US" w:eastAsia="en-US"/>
        </w:rPr>
      </w:pPr>
      <w:r>
        <w:rPr>
          <w:rFonts w:eastAsia="Calibri"/>
          <w:color w:val="auto"/>
          <w:lang w:val="en-US" w:eastAsia="en-US"/>
        </w:rPr>
        <w:t>Yapılan çalışmalarda p</w:t>
      </w:r>
      <w:r w:rsidR="007943A0" w:rsidRPr="007943A0">
        <w:rPr>
          <w:rFonts w:eastAsia="Calibri"/>
          <w:color w:val="auto"/>
          <w:lang w:val="en-US" w:eastAsia="en-US"/>
        </w:rPr>
        <w:t xml:space="preserve">iperidin türevlerinin gram pozitif ve gram negatif dahil olmak üzere bir dizi bakteri suşuna karşı güçlü antibakteriyel yanıt oluşturdukları ve güçlü antibiyotikler olduğu kanıtlanmıştır. </w:t>
      </w:r>
    </w:p>
    <w:p w14:paraId="186C8741" w14:textId="2165758F" w:rsidR="00C66CD9" w:rsidRDefault="007943A0" w:rsidP="00C66CD9">
      <w:pPr>
        <w:widowControl w:val="0"/>
        <w:spacing w:after="0" w:line="360" w:lineRule="auto"/>
        <w:ind w:firstLine="567"/>
        <w:jc w:val="both"/>
        <w:rPr>
          <w:rFonts w:eastAsia="Calibri"/>
          <w:color w:val="auto"/>
          <w:lang w:val="en-US" w:eastAsia="en-US"/>
        </w:rPr>
      </w:pPr>
      <w:r w:rsidRPr="007943A0">
        <w:rPr>
          <w:rFonts w:eastAsia="Calibri"/>
          <w:color w:val="auto"/>
          <w:lang w:val="en-US" w:eastAsia="en-US"/>
        </w:rPr>
        <w:t>Yapıla</w:t>
      </w:r>
      <w:r w:rsidR="00732932">
        <w:rPr>
          <w:rFonts w:eastAsia="Calibri"/>
          <w:color w:val="auto"/>
          <w:lang w:val="en-US" w:eastAsia="en-US"/>
        </w:rPr>
        <w:t xml:space="preserve">n başka bir çalışmada 6 farklı </w:t>
      </w:r>
      <w:r w:rsidRPr="007943A0">
        <w:rPr>
          <w:rFonts w:eastAsia="Calibri"/>
          <w:color w:val="auto"/>
          <w:lang w:val="en-US" w:eastAsia="en-US"/>
        </w:rPr>
        <w:t xml:space="preserve">4-Hidroksi-4-fenil piperidin türevi sentezlenerek antibakteriyel etkileri araştırılmıştır. </w:t>
      </w:r>
      <w:r w:rsidRPr="007943A0">
        <w:rPr>
          <w:rFonts w:eastAsia="Calibri"/>
          <w:i/>
          <w:color w:val="auto"/>
          <w:lang w:val="en-US" w:eastAsia="en-US"/>
        </w:rPr>
        <w:t>Bacillus cereus, Bacillus subtilis, Bacillus thruingiensis, Staphylococcus epidermidis, Streptococcus saprophyticus</w:t>
      </w:r>
      <w:r w:rsidRPr="007943A0">
        <w:rPr>
          <w:rFonts w:eastAsia="Calibri"/>
          <w:color w:val="auto"/>
          <w:lang w:val="en-US" w:eastAsia="en-US"/>
        </w:rPr>
        <w:t xml:space="preserve"> gram pozitif bakterilerine karşı düşük zon</w:t>
      </w:r>
      <w:r w:rsidR="00732932">
        <w:rPr>
          <w:rFonts w:eastAsia="Calibri"/>
          <w:color w:val="auto"/>
          <w:lang w:val="en-US" w:eastAsia="en-US"/>
        </w:rPr>
        <w:t xml:space="preserve"> çapları (4-5 mm) elde edilmiş </w:t>
      </w:r>
      <w:r w:rsidRPr="007943A0">
        <w:rPr>
          <w:rFonts w:eastAsia="Calibri"/>
          <w:color w:val="auto"/>
          <w:lang w:val="en-US" w:eastAsia="en-US"/>
        </w:rPr>
        <w:t>1- (1 ′′- Etil fitalamid)-4-fenil-4-hidroksi piperidinyum hidrobromür bi</w:t>
      </w:r>
      <w:r w:rsidR="00732932">
        <w:rPr>
          <w:rFonts w:eastAsia="Calibri"/>
          <w:color w:val="auto"/>
          <w:lang w:val="en-US" w:eastAsia="en-US"/>
        </w:rPr>
        <w:t xml:space="preserve">leşiği için (VI) ise daha yüksek </w:t>
      </w:r>
      <w:r w:rsidRPr="007943A0">
        <w:rPr>
          <w:rFonts w:eastAsia="Calibri"/>
          <w:color w:val="auto"/>
          <w:lang w:val="en-US" w:eastAsia="en-US"/>
        </w:rPr>
        <w:t>zon çapları (14-16mm) elde edilmiş ve iyi antibakteriyel etki gösterdiği görülmüştür (Rafig vd.</w:t>
      </w:r>
      <w:r w:rsidR="00C425E6">
        <w:rPr>
          <w:rFonts w:eastAsia="Calibri"/>
          <w:color w:val="auto"/>
          <w:lang w:val="en-US" w:eastAsia="en-US"/>
        </w:rPr>
        <w:t>,</w:t>
      </w:r>
      <w:r w:rsidR="000524E6">
        <w:rPr>
          <w:rFonts w:eastAsia="Calibri"/>
          <w:color w:val="auto"/>
          <w:lang w:val="en-US" w:eastAsia="en-US"/>
        </w:rPr>
        <w:t xml:space="preserve"> 2013).</w:t>
      </w:r>
    </w:p>
    <w:p w14:paraId="4C5BA8CB" w14:textId="77777777" w:rsidR="00C66CD9" w:rsidRDefault="00C66CD9" w:rsidP="00C66CD9">
      <w:pPr>
        <w:widowControl w:val="0"/>
        <w:spacing w:after="0" w:line="240" w:lineRule="auto"/>
        <w:ind w:firstLine="567"/>
        <w:jc w:val="both"/>
        <w:rPr>
          <w:rFonts w:eastAsia="Calibri"/>
          <w:color w:val="auto"/>
          <w:lang w:val="en-US" w:eastAsia="en-US"/>
        </w:rPr>
      </w:pPr>
    </w:p>
    <w:p w14:paraId="73675646" w14:textId="77777777" w:rsidR="00C66CD9" w:rsidRPr="007943A0" w:rsidRDefault="00C66CD9" w:rsidP="006A53A9">
      <w:pPr>
        <w:widowControl w:val="0"/>
        <w:spacing w:after="0" w:line="240" w:lineRule="auto"/>
        <w:ind w:firstLine="567"/>
        <w:jc w:val="both"/>
        <w:rPr>
          <w:rFonts w:eastAsia="Calibri"/>
          <w:color w:val="auto"/>
          <w:lang w:val="en-US" w:eastAsia="en-US"/>
        </w:rPr>
      </w:pPr>
    </w:p>
    <w:tbl>
      <w:tblPr>
        <w:tblStyle w:val="TabloKlavuzu4"/>
        <w:tblW w:w="0" w:type="auto"/>
        <w:tblInd w:w="108" w:type="dxa"/>
        <w:tblLayout w:type="fixed"/>
        <w:tblLook w:val="04A0" w:firstRow="1" w:lastRow="0" w:firstColumn="1" w:lastColumn="0" w:noHBand="0" w:noVBand="1"/>
      </w:tblPr>
      <w:tblGrid>
        <w:gridCol w:w="3054"/>
        <w:gridCol w:w="3008"/>
        <w:gridCol w:w="2551"/>
      </w:tblGrid>
      <w:tr w:rsidR="007943A0" w:rsidRPr="007943A0" w14:paraId="7122EE8A" w14:textId="77777777" w:rsidTr="000524E6">
        <w:trPr>
          <w:trHeight w:val="2055"/>
        </w:trPr>
        <w:tc>
          <w:tcPr>
            <w:tcW w:w="8613" w:type="dxa"/>
            <w:gridSpan w:val="3"/>
          </w:tcPr>
          <w:p w14:paraId="654708A1" w14:textId="77777777" w:rsidR="007943A0" w:rsidRPr="007943A0" w:rsidRDefault="007943A0" w:rsidP="007943A0">
            <w:pPr>
              <w:widowControl w:val="0"/>
              <w:spacing w:before="120" w:after="120" w:line="360" w:lineRule="auto"/>
              <w:ind w:firstLine="567"/>
              <w:jc w:val="center"/>
              <w:rPr>
                <w:b/>
                <w:lang w:val="en-US"/>
              </w:rPr>
            </w:pPr>
            <w:r w:rsidRPr="007943A0">
              <w:rPr>
                <w:b/>
                <w:noProof/>
              </w:rPr>
              <w:drawing>
                <wp:inline distT="0" distB="0" distL="0" distR="0" wp14:anchorId="77D5E151" wp14:editId="57D8A681">
                  <wp:extent cx="720619" cy="1039075"/>
                  <wp:effectExtent l="0" t="0" r="3810" b="8890"/>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30878" cy="1053867"/>
                          </a:xfrm>
                          <a:prstGeom prst="rect">
                            <a:avLst/>
                          </a:prstGeom>
                          <a:noFill/>
                          <a:ln>
                            <a:noFill/>
                          </a:ln>
                        </pic:spPr>
                      </pic:pic>
                    </a:graphicData>
                  </a:graphic>
                </wp:inline>
              </w:drawing>
            </w:r>
          </w:p>
        </w:tc>
      </w:tr>
      <w:tr w:rsidR="007943A0" w:rsidRPr="007943A0" w14:paraId="020E6C51" w14:textId="77777777" w:rsidTr="000524E6">
        <w:tc>
          <w:tcPr>
            <w:tcW w:w="3054" w:type="dxa"/>
          </w:tcPr>
          <w:p w14:paraId="64260D1B" w14:textId="77777777" w:rsidR="007943A0" w:rsidRPr="00230A84" w:rsidRDefault="007943A0" w:rsidP="007943A0">
            <w:pPr>
              <w:widowControl w:val="0"/>
              <w:spacing w:before="120" w:after="120" w:line="360" w:lineRule="auto"/>
              <w:ind w:firstLine="567"/>
              <w:jc w:val="center"/>
              <w:rPr>
                <w:rFonts w:ascii="Times New Roman" w:hAnsi="Times New Roman"/>
                <w:b/>
                <w:lang w:val="en-US"/>
              </w:rPr>
            </w:pPr>
            <w:r w:rsidRPr="00230A84">
              <w:rPr>
                <w:rFonts w:ascii="Times New Roman" w:hAnsi="Times New Roman"/>
                <w:b/>
                <w:lang w:val="en-US"/>
              </w:rPr>
              <w:t>Bileşik kod numarası</w:t>
            </w:r>
          </w:p>
        </w:tc>
        <w:tc>
          <w:tcPr>
            <w:tcW w:w="3008" w:type="dxa"/>
          </w:tcPr>
          <w:p w14:paraId="22D1B115" w14:textId="77777777" w:rsidR="007943A0" w:rsidRPr="00230A84" w:rsidRDefault="007943A0" w:rsidP="007943A0">
            <w:pPr>
              <w:widowControl w:val="0"/>
              <w:spacing w:before="120" w:after="120" w:line="360" w:lineRule="auto"/>
              <w:jc w:val="center"/>
              <w:rPr>
                <w:rFonts w:ascii="Times New Roman" w:hAnsi="Times New Roman"/>
                <w:b/>
                <w:lang w:val="en-US"/>
              </w:rPr>
            </w:pPr>
            <w:r w:rsidRPr="00230A84">
              <w:rPr>
                <w:rFonts w:ascii="Times New Roman" w:hAnsi="Times New Roman"/>
                <w:b/>
                <w:lang w:val="en-US"/>
              </w:rPr>
              <w:t>R grubu</w:t>
            </w:r>
          </w:p>
        </w:tc>
        <w:tc>
          <w:tcPr>
            <w:tcW w:w="2551" w:type="dxa"/>
          </w:tcPr>
          <w:p w14:paraId="61833829" w14:textId="77777777" w:rsidR="007943A0" w:rsidRPr="00230A84" w:rsidRDefault="007943A0" w:rsidP="000524E6">
            <w:pPr>
              <w:widowControl w:val="0"/>
              <w:spacing w:before="120" w:after="120" w:line="360" w:lineRule="auto"/>
              <w:ind w:firstLine="567"/>
              <w:jc w:val="center"/>
              <w:rPr>
                <w:rFonts w:ascii="Times New Roman" w:hAnsi="Times New Roman"/>
                <w:b/>
                <w:lang w:val="en-US"/>
              </w:rPr>
            </w:pPr>
            <w:r w:rsidRPr="00230A84">
              <w:rPr>
                <w:rFonts w:ascii="Times New Roman" w:hAnsi="Times New Roman"/>
                <w:b/>
                <w:lang w:val="en-US"/>
              </w:rPr>
              <w:t>X</w:t>
            </w:r>
          </w:p>
        </w:tc>
      </w:tr>
      <w:tr w:rsidR="007943A0" w:rsidRPr="007943A0" w14:paraId="60D384D3" w14:textId="77777777" w:rsidTr="000524E6">
        <w:tc>
          <w:tcPr>
            <w:tcW w:w="3054" w:type="dxa"/>
          </w:tcPr>
          <w:p w14:paraId="7E5E16B8" w14:textId="77777777" w:rsidR="007943A0" w:rsidRPr="00230A84" w:rsidRDefault="007943A0" w:rsidP="007943A0">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II</w:t>
            </w:r>
          </w:p>
        </w:tc>
        <w:tc>
          <w:tcPr>
            <w:tcW w:w="3008" w:type="dxa"/>
          </w:tcPr>
          <w:p w14:paraId="7A9A92FE" w14:textId="77777777" w:rsidR="007943A0" w:rsidRPr="00230A84" w:rsidRDefault="007943A0" w:rsidP="007943A0">
            <w:pPr>
              <w:widowControl w:val="0"/>
              <w:spacing w:before="120" w:after="120" w:line="360" w:lineRule="auto"/>
              <w:jc w:val="center"/>
              <w:rPr>
                <w:rFonts w:ascii="Times New Roman" w:hAnsi="Times New Roman"/>
                <w:sz w:val="20"/>
                <w:szCs w:val="20"/>
                <w:lang w:val="en-US"/>
              </w:rPr>
            </w:pPr>
            <w:r w:rsidRPr="00230A84">
              <w:rPr>
                <w:rFonts w:ascii="Times New Roman" w:hAnsi="Times New Roman"/>
                <w:sz w:val="20"/>
                <w:szCs w:val="20"/>
                <w:lang w:val="en-US"/>
              </w:rPr>
              <w:t>OC</w:t>
            </w:r>
            <w:r w:rsidRPr="00230A84">
              <w:rPr>
                <w:rFonts w:ascii="Times New Roman" w:hAnsi="Times New Roman"/>
                <w:sz w:val="20"/>
                <w:szCs w:val="20"/>
                <w:vertAlign w:val="subscript"/>
                <w:lang w:val="en-US"/>
              </w:rPr>
              <w:t>9</w:t>
            </w:r>
            <w:r w:rsidRPr="00230A84">
              <w:rPr>
                <w:rFonts w:ascii="Times New Roman" w:hAnsi="Times New Roman"/>
                <w:sz w:val="20"/>
                <w:szCs w:val="20"/>
                <w:lang w:val="en-US"/>
              </w:rPr>
              <w:t>H</w:t>
            </w:r>
            <w:r w:rsidRPr="00230A84">
              <w:rPr>
                <w:rFonts w:ascii="Times New Roman" w:hAnsi="Times New Roman"/>
                <w:sz w:val="20"/>
                <w:szCs w:val="20"/>
                <w:vertAlign w:val="subscript"/>
                <w:lang w:val="en-US"/>
              </w:rPr>
              <w:t>11</w:t>
            </w:r>
          </w:p>
        </w:tc>
        <w:tc>
          <w:tcPr>
            <w:tcW w:w="2551" w:type="dxa"/>
          </w:tcPr>
          <w:p w14:paraId="17061EAD" w14:textId="77777777" w:rsidR="007943A0" w:rsidRPr="00230A84" w:rsidRDefault="007943A0" w:rsidP="000524E6">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Br</w:t>
            </w:r>
          </w:p>
        </w:tc>
      </w:tr>
      <w:tr w:rsidR="007943A0" w:rsidRPr="007943A0" w14:paraId="7F5F8A13" w14:textId="77777777" w:rsidTr="000524E6">
        <w:tc>
          <w:tcPr>
            <w:tcW w:w="3054" w:type="dxa"/>
          </w:tcPr>
          <w:p w14:paraId="2D9B726A" w14:textId="77777777" w:rsidR="007943A0" w:rsidRPr="00230A84" w:rsidRDefault="007943A0" w:rsidP="007943A0">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III</w:t>
            </w:r>
          </w:p>
        </w:tc>
        <w:tc>
          <w:tcPr>
            <w:tcW w:w="3008" w:type="dxa"/>
          </w:tcPr>
          <w:p w14:paraId="3F81053B" w14:textId="77777777" w:rsidR="007943A0" w:rsidRPr="00230A84" w:rsidRDefault="007943A0" w:rsidP="007943A0">
            <w:pPr>
              <w:widowControl w:val="0"/>
              <w:spacing w:before="120" w:after="120" w:line="360" w:lineRule="auto"/>
              <w:jc w:val="center"/>
              <w:rPr>
                <w:rFonts w:ascii="Times New Roman" w:hAnsi="Times New Roman"/>
                <w:sz w:val="20"/>
                <w:szCs w:val="20"/>
                <w:lang w:val="en-US"/>
              </w:rPr>
            </w:pPr>
            <w:r w:rsidRPr="00230A84">
              <w:rPr>
                <w:rFonts w:ascii="Times New Roman" w:hAnsi="Times New Roman"/>
                <w:sz w:val="20"/>
                <w:szCs w:val="20"/>
                <w:lang w:val="en-US"/>
              </w:rPr>
              <w:t>O</w:t>
            </w:r>
            <w:r w:rsidRPr="00230A84">
              <w:rPr>
                <w:rFonts w:ascii="Times New Roman" w:hAnsi="Times New Roman"/>
                <w:sz w:val="20"/>
                <w:szCs w:val="20"/>
                <w:vertAlign w:val="subscript"/>
                <w:lang w:val="en-US"/>
              </w:rPr>
              <w:t>2</w:t>
            </w:r>
            <w:r w:rsidRPr="00230A84">
              <w:rPr>
                <w:rFonts w:ascii="Times New Roman" w:hAnsi="Times New Roman"/>
                <w:sz w:val="20"/>
                <w:szCs w:val="20"/>
                <w:lang w:val="en-US"/>
              </w:rPr>
              <w:t>C</w:t>
            </w:r>
            <w:r w:rsidRPr="00230A84">
              <w:rPr>
                <w:rFonts w:ascii="Times New Roman" w:hAnsi="Times New Roman"/>
                <w:sz w:val="20"/>
                <w:szCs w:val="20"/>
                <w:vertAlign w:val="subscript"/>
                <w:lang w:val="en-US"/>
              </w:rPr>
              <w:t>5</w:t>
            </w:r>
            <w:r w:rsidRPr="00230A84">
              <w:rPr>
                <w:rFonts w:ascii="Times New Roman" w:hAnsi="Times New Roman"/>
                <w:sz w:val="20"/>
                <w:szCs w:val="20"/>
                <w:lang w:val="en-US"/>
              </w:rPr>
              <w:t>H</w:t>
            </w:r>
            <w:r w:rsidRPr="00230A84">
              <w:rPr>
                <w:rFonts w:ascii="Times New Roman" w:hAnsi="Times New Roman"/>
                <w:sz w:val="20"/>
                <w:szCs w:val="20"/>
                <w:vertAlign w:val="subscript"/>
                <w:lang w:val="en-US"/>
              </w:rPr>
              <w:t>5</w:t>
            </w:r>
            <w:r w:rsidRPr="00230A84">
              <w:rPr>
                <w:rFonts w:ascii="Times New Roman" w:hAnsi="Times New Roman"/>
                <w:sz w:val="20"/>
                <w:szCs w:val="20"/>
                <w:lang w:val="en-US"/>
              </w:rPr>
              <w:t>N</w:t>
            </w:r>
            <w:r w:rsidRPr="00230A84">
              <w:rPr>
                <w:rFonts w:ascii="Times New Roman" w:hAnsi="Times New Roman"/>
                <w:sz w:val="20"/>
                <w:szCs w:val="20"/>
                <w:vertAlign w:val="subscript"/>
                <w:lang w:val="en-US"/>
              </w:rPr>
              <w:t>2</w:t>
            </w:r>
          </w:p>
        </w:tc>
        <w:tc>
          <w:tcPr>
            <w:tcW w:w="2551" w:type="dxa"/>
          </w:tcPr>
          <w:p w14:paraId="53B26F2A" w14:textId="77777777" w:rsidR="007943A0" w:rsidRPr="00230A84" w:rsidRDefault="007943A0" w:rsidP="000524E6">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Cl</w:t>
            </w:r>
          </w:p>
        </w:tc>
      </w:tr>
      <w:tr w:rsidR="007943A0" w:rsidRPr="007943A0" w14:paraId="018E2674" w14:textId="77777777" w:rsidTr="000524E6">
        <w:tc>
          <w:tcPr>
            <w:tcW w:w="3054" w:type="dxa"/>
          </w:tcPr>
          <w:p w14:paraId="0F4109B8" w14:textId="77777777" w:rsidR="007943A0" w:rsidRPr="00230A84" w:rsidRDefault="007943A0" w:rsidP="007943A0">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IV</w:t>
            </w:r>
          </w:p>
        </w:tc>
        <w:tc>
          <w:tcPr>
            <w:tcW w:w="3008" w:type="dxa"/>
          </w:tcPr>
          <w:p w14:paraId="4D1E9369" w14:textId="77777777" w:rsidR="007943A0" w:rsidRPr="00230A84" w:rsidRDefault="007943A0" w:rsidP="007943A0">
            <w:pPr>
              <w:widowControl w:val="0"/>
              <w:spacing w:before="120" w:after="120" w:line="360" w:lineRule="auto"/>
              <w:jc w:val="center"/>
              <w:rPr>
                <w:rFonts w:ascii="Times New Roman" w:hAnsi="Times New Roman"/>
                <w:sz w:val="20"/>
                <w:szCs w:val="20"/>
                <w:lang w:val="en-US"/>
              </w:rPr>
            </w:pPr>
            <w:r w:rsidRPr="00230A84">
              <w:rPr>
                <w:rFonts w:ascii="Times New Roman" w:hAnsi="Times New Roman"/>
                <w:sz w:val="20"/>
                <w:szCs w:val="20"/>
                <w:lang w:val="en-US"/>
              </w:rPr>
              <w:t>OC</w:t>
            </w:r>
            <w:r w:rsidRPr="00230A84">
              <w:rPr>
                <w:rFonts w:ascii="Times New Roman" w:hAnsi="Times New Roman"/>
                <w:sz w:val="20"/>
                <w:szCs w:val="20"/>
                <w:vertAlign w:val="subscript"/>
                <w:lang w:val="en-US"/>
              </w:rPr>
              <w:t>12</w:t>
            </w:r>
            <w:r w:rsidRPr="00230A84">
              <w:rPr>
                <w:rFonts w:ascii="Times New Roman" w:hAnsi="Times New Roman"/>
                <w:sz w:val="20"/>
                <w:szCs w:val="20"/>
                <w:lang w:val="en-US"/>
              </w:rPr>
              <w:t>H</w:t>
            </w:r>
            <w:r w:rsidRPr="00230A84">
              <w:rPr>
                <w:rFonts w:ascii="Times New Roman" w:hAnsi="Times New Roman"/>
                <w:sz w:val="20"/>
                <w:szCs w:val="20"/>
                <w:vertAlign w:val="subscript"/>
                <w:lang w:val="en-US"/>
              </w:rPr>
              <w:t>17</w:t>
            </w:r>
          </w:p>
        </w:tc>
        <w:tc>
          <w:tcPr>
            <w:tcW w:w="2551" w:type="dxa"/>
          </w:tcPr>
          <w:p w14:paraId="290A0C7F" w14:textId="77777777" w:rsidR="007943A0" w:rsidRPr="00230A84" w:rsidRDefault="007943A0" w:rsidP="000524E6">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Br</w:t>
            </w:r>
          </w:p>
        </w:tc>
      </w:tr>
      <w:tr w:rsidR="007943A0" w:rsidRPr="007943A0" w14:paraId="2D142039" w14:textId="77777777" w:rsidTr="000524E6">
        <w:tc>
          <w:tcPr>
            <w:tcW w:w="3054" w:type="dxa"/>
          </w:tcPr>
          <w:p w14:paraId="4565DA1A" w14:textId="77777777" w:rsidR="007943A0" w:rsidRPr="00230A84" w:rsidRDefault="007943A0" w:rsidP="007943A0">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V</w:t>
            </w:r>
          </w:p>
        </w:tc>
        <w:tc>
          <w:tcPr>
            <w:tcW w:w="3008" w:type="dxa"/>
          </w:tcPr>
          <w:p w14:paraId="6F6CE67E" w14:textId="77777777" w:rsidR="007943A0" w:rsidRPr="00230A84" w:rsidRDefault="007943A0" w:rsidP="007943A0">
            <w:pPr>
              <w:widowControl w:val="0"/>
              <w:spacing w:before="120" w:after="120" w:line="360" w:lineRule="auto"/>
              <w:jc w:val="center"/>
              <w:rPr>
                <w:rFonts w:ascii="Times New Roman" w:hAnsi="Times New Roman"/>
                <w:sz w:val="20"/>
                <w:szCs w:val="20"/>
                <w:lang w:val="en-US"/>
              </w:rPr>
            </w:pPr>
            <w:r w:rsidRPr="00230A84">
              <w:rPr>
                <w:rFonts w:ascii="Times New Roman" w:hAnsi="Times New Roman"/>
                <w:sz w:val="20"/>
                <w:szCs w:val="20"/>
                <w:lang w:val="en-US"/>
              </w:rPr>
              <w:t>OC</w:t>
            </w:r>
            <w:r w:rsidRPr="00230A84">
              <w:rPr>
                <w:rFonts w:ascii="Times New Roman" w:hAnsi="Times New Roman"/>
                <w:sz w:val="20"/>
                <w:szCs w:val="20"/>
                <w:vertAlign w:val="subscript"/>
                <w:lang w:val="en-US"/>
              </w:rPr>
              <w:t>8</w:t>
            </w:r>
            <w:r w:rsidRPr="00230A84">
              <w:rPr>
                <w:rFonts w:ascii="Times New Roman" w:hAnsi="Times New Roman"/>
                <w:sz w:val="20"/>
                <w:szCs w:val="20"/>
                <w:lang w:val="en-US"/>
              </w:rPr>
              <w:t>H</w:t>
            </w:r>
            <w:r w:rsidRPr="00230A84">
              <w:rPr>
                <w:rFonts w:ascii="Times New Roman" w:hAnsi="Times New Roman"/>
                <w:sz w:val="20"/>
                <w:szCs w:val="20"/>
                <w:vertAlign w:val="subscript"/>
                <w:lang w:val="en-US"/>
              </w:rPr>
              <w:t>7</w:t>
            </w:r>
          </w:p>
        </w:tc>
        <w:tc>
          <w:tcPr>
            <w:tcW w:w="2551" w:type="dxa"/>
          </w:tcPr>
          <w:p w14:paraId="3FD36D47" w14:textId="77777777" w:rsidR="007943A0" w:rsidRPr="00230A84" w:rsidRDefault="007943A0" w:rsidP="000524E6">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Cl</w:t>
            </w:r>
          </w:p>
        </w:tc>
      </w:tr>
      <w:tr w:rsidR="007943A0" w:rsidRPr="007943A0" w14:paraId="2884860F" w14:textId="77777777" w:rsidTr="000524E6">
        <w:tc>
          <w:tcPr>
            <w:tcW w:w="3054" w:type="dxa"/>
          </w:tcPr>
          <w:p w14:paraId="782505F7" w14:textId="77777777" w:rsidR="007943A0" w:rsidRPr="00230A84" w:rsidRDefault="007943A0" w:rsidP="007943A0">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VI</w:t>
            </w:r>
          </w:p>
        </w:tc>
        <w:tc>
          <w:tcPr>
            <w:tcW w:w="3008" w:type="dxa"/>
          </w:tcPr>
          <w:p w14:paraId="3F62DE13" w14:textId="77777777" w:rsidR="007943A0" w:rsidRPr="00230A84" w:rsidRDefault="007943A0" w:rsidP="007943A0">
            <w:pPr>
              <w:widowControl w:val="0"/>
              <w:spacing w:before="120" w:after="120" w:line="360" w:lineRule="auto"/>
              <w:jc w:val="center"/>
              <w:rPr>
                <w:rFonts w:ascii="Times New Roman" w:hAnsi="Times New Roman"/>
                <w:sz w:val="20"/>
                <w:szCs w:val="20"/>
                <w:lang w:val="en-US"/>
              </w:rPr>
            </w:pPr>
            <w:r w:rsidRPr="00230A84">
              <w:rPr>
                <w:rFonts w:ascii="Times New Roman" w:hAnsi="Times New Roman"/>
                <w:sz w:val="20"/>
                <w:szCs w:val="20"/>
                <w:lang w:val="en-US"/>
              </w:rPr>
              <w:t>O</w:t>
            </w:r>
            <w:r w:rsidRPr="00230A84">
              <w:rPr>
                <w:rFonts w:ascii="Times New Roman" w:hAnsi="Times New Roman"/>
                <w:sz w:val="20"/>
                <w:szCs w:val="20"/>
                <w:vertAlign w:val="subscript"/>
                <w:lang w:val="en-US"/>
              </w:rPr>
              <w:t>2</w:t>
            </w:r>
            <w:r w:rsidRPr="00230A84">
              <w:rPr>
                <w:rFonts w:ascii="Times New Roman" w:hAnsi="Times New Roman"/>
                <w:sz w:val="20"/>
                <w:szCs w:val="20"/>
                <w:lang w:val="en-US"/>
              </w:rPr>
              <w:t>C</w:t>
            </w:r>
            <w:r w:rsidRPr="00230A84">
              <w:rPr>
                <w:rFonts w:ascii="Times New Roman" w:hAnsi="Times New Roman"/>
                <w:sz w:val="20"/>
                <w:szCs w:val="20"/>
                <w:vertAlign w:val="subscript"/>
                <w:lang w:val="en-US"/>
              </w:rPr>
              <w:t>10</w:t>
            </w:r>
            <w:r w:rsidRPr="00230A84">
              <w:rPr>
                <w:rFonts w:ascii="Times New Roman" w:hAnsi="Times New Roman"/>
                <w:sz w:val="20"/>
                <w:szCs w:val="20"/>
                <w:lang w:val="en-US"/>
              </w:rPr>
              <w:t>H</w:t>
            </w:r>
            <w:r w:rsidRPr="00230A84">
              <w:rPr>
                <w:rFonts w:ascii="Times New Roman" w:hAnsi="Times New Roman"/>
                <w:sz w:val="20"/>
                <w:szCs w:val="20"/>
                <w:vertAlign w:val="subscript"/>
                <w:lang w:val="en-US"/>
              </w:rPr>
              <w:t>8</w:t>
            </w:r>
            <w:r w:rsidRPr="00230A84">
              <w:rPr>
                <w:rFonts w:ascii="Times New Roman" w:hAnsi="Times New Roman"/>
                <w:sz w:val="20"/>
                <w:szCs w:val="20"/>
                <w:lang w:val="en-US"/>
              </w:rPr>
              <w:t>N</w:t>
            </w:r>
          </w:p>
        </w:tc>
        <w:tc>
          <w:tcPr>
            <w:tcW w:w="2551" w:type="dxa"/>
          </w:tcPr>
          <w:p w14:paraId="4EEE56CB" w14:textId="77777777" w:rsidR="007943A0" w:rsidRPr="00230A84" w:rsidRDefault="007943A0" w:rsidP="000524E6">
            <w:pPr>
              <w:widowControl w:val="0"/>
              <w:spacing w:before="120" w:after="120" w:line="360" w:lineRule="auto"/>
              <w:ind w:firstLine="567"/>
              <w:jc w:val="center"/>
              <w:rPr>
                <w:rFonts w:ascii="Times New Roman" w:hAnsi="Times New Roman"/>
                <w:sz w:val="20"/>
                <w:szCs w:val="20"/>
                <w:lang w:val="en-US"/>
              </w:rPr>
            </w:pPr>
            <w:r w:rsidRPr="00230A84">
              <w:rPr>
                <w:rFonts w:ascii="Times New Roman" w:hAnsi="Times New Roman"/>
                <w:sz w:val="20"/>
                <w:szCs w:val="20"/>
                <w:lang w:val="en-US"/>
              </w:rPr>
              <w:t>Br</w:t>
            </w:r>
          </w:p>
        </w:tc>
      </w:tr>
    </w:tbl>
    <w:p w14:paraId="0B63B6F3" w14:textId="77777777" w:rsidR="000C1FEE" w:rsidRDefault="000C1FEE" w:rsidP="000C1FEE">
      <w:pPr>
        <w:widowControl w:val="0"/>
        <w:spacing w:after="0" w:line="240" w:lineRule="auto"/>
        <w:jc w:val="both"/>
        <w:rPr>
          <w:rFonts w:eastAsia="Calibri"/>
          <w:color w:val="auto"/>
          <w:lang w:val="en-US" w:eastAsia="en-US"/>
        </w:rPr>
      </w:pPr>
    </w:p>
    <w:p w14:paraId="2D94A853" w14:textId="1DDA5603" w:rsidR="00513499" w:rsidRDefault="007943A0" w:rsidP="000C1FEE">
      <w:pPr>
        <w:widowControl w:val="0"/>
        <w:spacing w:after="0" w:line="240" w:lineRule="auto"/>
        <w:jc w:val="both"/>
        <w:rPr>
          <w:rFonts w:eastAsia="Calibri"/>
          <w:color w:val="auto"/>
          <w:lang w:val="en-US" w:eastAsia="en-US"/>
        </w:rPr>
      </w:pPr>
      <w:r w:rsidRPr="00C425E6">
        <w:rPr>
          <w:rFonts w:eastAsia="Calibri"/>
          <w:color w:val="auto"/>
          <w:lang w:val="en-US" w:eastAsia="en-US"/>
        </w:rPr>
        <w:t>Şekil</w:t>
      </w:r>
      <w:r w:rsidR="00C425E6">
        <w:rPr>
          <w:rFonts w:eastAsia="Calibri"/>
          <w:color w:val="auto"/>
          <w:lang w:val="en-US" w:eastAsia="en-US"/>
        </w:rPr>
        <w:t xml:space="preserve"> </w:t>
      </w:r>
      <w:r w:rsidRPr="00C425E6">
        <w:rPr>
          <w:rFonts w:eastAsia="Calibri"/>
          <w:color w:val="auto"/>
          <w:lang w:val="en-US" w:eastAsia="en-US"/>
        </w:rPr>
        <w:t>4.5.</w:t>
      </w:r>
      <w:r w:rsidRPr="007943A0">
        <w:rPr>
          <w:rFonts w:eastAsia="Calibri"/>
          <w:color w:val="auto"/>
          <w:lang w:val="en-US" w:eastAsia="en-US"/>
        </w:rPr>
        <w:t xml:space="preserve">  4-Hidroksi-4-fenil piperidin türevi bileşikleri R ve X grupları</w:t>
      </w:r>
      <w:r w:rsidR="00C425E6">
        <w:rPr>
          <w:rFonts w:eastAsia="Calibri"/>
          <w:color w:val="auto"/>
          <w:lang w:val="en-US" w:eastAsia="en-US"/>
        </w:rPr>
        <w:t xml:space="preserve"> (Rafig vd., 2013)</w:t>
      </w:r>
    </w:p>
    <w:p w14:paraId="5C226F5B" w14:textId="77777777" w:rsidR="00C66CD9" w:rsidRDefault="00C66CD9" w:rsidP="00C66CD9">
      <w:pPr>
        <w:widowControl w:val="0"/>
        <w:spacing w:after="0" w:line="240" w:lineRule="auto"/>
        <w:jc w:val="both"/>
        <w:rPr>
          <w:rFonts w:eastAsia="Calibri"/>
          <w:color w:val="auto"/>
          <w:lang w:val="en-US" w:eastAsia="en-US"/>
        </w:rPr>
      </w:pPr>
    </w:p>
    <w:p w14:paraId="50212DC5" w14:textId="77777777" w:rsidR="00C66CD9" w:rsidRPr="007943A0" w:rsidRDefault="00C66CD9" w:rsidP="00C66CD9">
      <w:pPr>
        <w:widowControl w:val="0"/>
        <w:spacing w:after="0" w:line="240" w:lineRule="auto"/>
        <w:jc w:val="both"/>
        <w:rPr>
          <w:rFonts w:eastAsia="Calibri"/>
          <w:color w:val="auto"/>
          <w:lang w:val="en-US" w:eastAsia="en-US"/>
        </w:rPr>
      </w:pPr>
    </w:p>
    <w:p w14:paraId="11095460" w14:textId="14ED9185" w:rsidR="007943A0" w:rsidRPr="004A617F" w:rsidRDefault="007943A0" w:rsidP="008F2DA3">
      <w:pPr>
        <w:widowControl w:val="0"/>
        <w:autoSpaceDE w:val="0"/>
        <w:autoSpaceDN w:val="0"/>
        <w:adjustRightInd w:val="0"/>
        <w:spacing w:after="0" w:line="360" w:lineRule="auto"/>
        <w:ind w:firstLine="567"/>
        <w:jc w:val="both"/>
        <w:rPr>
          <w:rFonts w:eastAsia="Calibri"/>
          <w:color w:val="000000"/>
          <w:szCs w:val="22"/>
          <w:lang w:eastAsia="en-US"/>
        </w:rPr>
      </w:pPr>
      <w:r w:rsidRPr="007943A0">
        <w:rPr>
          <w:rFonts w:eastAsia="Times New Roman"/>
          <w:color w:val="212121"/>
        </w:rPr>
        <w:lastRenderedPageBreak/>
        <w:t>(1-metil-4-hidroksi-4-fenil pi</w:t>
      </w:r>
      <w:r w:rsidR="004A617F">
        <w:rPr>
          <w:rFonts w:eastAsia="Times New Roman"/>
          <w:color w:val="212121"/>
        </w:rPr>
        <w:t xml:space="preserve">peridin-3-il)(fenil)metanon ve </w:t>
      </w:r>
      <w:r w:rsidRPr="007943A0">
        <w:rPr>
          <w:rFonts w:eastAsia="Times New Roman"/>
          <w:color w:val="212121"/>
        </w:rPr>
        <w:t xml:space="preserve">(1-metil-4-hidroksi-4-fenil piperidin-3-il)(fenil)metanon bileşiklerinin disk difüzyon yöntemi ile antibakteriyel aktivitelerini belirlemek amaçlı yaptığımız çalışmada </w:t>
      </w:r>
      <w:r w:rsidR="004A617F">
        <w:rPr>
          <w:rFonts w:eastAsia="Times New Roman"/>
          <w:color w:val="212121"/>
        </w:rPr>
        <w:t>e</w:t>
      </w:r>
      <w:r w:rsidRPr="007943A0">
        <w:rPr>
          <w:rFonts w:eastAsia="Times New Roman"/>
          <w:color w:val="212121"/>
        </w:rPr>
        <w:t>tanolde çözünen (1-metil-4-hidroksi-4-fenil piperidin-3-il)(fenil)metanon bileşiğinin</w:t>
      </w:r>
      <w:r w:rsidRPr="007943A0">
        <w:rPr>
          <w:rFonts w:eastAsia="Calibri"/>
          <w:color w:val="000000"/>
          <w:szCs w:val="22"/>
          <w:lang w:eastAsia="en-US"/>
        </w:rPr>
        <w:t xml:space="preserve"> bakteri suşları üzerindeki etkisi</w:t>
      </w:r>
      <w:r w:rsidRPr="007943A0">
        <w:rPr>
          <w:rFonts w:eastAsia="Times New Roman"/>
          <w:color w:val="212121"/>
        </w:rPr>
        <w:t xml:space="preserve"> zon çapları büyüklüklerine göre; </w:t>
      </w:r>
      <w:r w:rsidRPr="007943A0">
        <w:rPr>
          <w:rFonts w:eastAsia="Calibri"/>
          <w:i/>
          <w:color w:val="000000"/>
          <w:szCs w:val="22"/>
          <w:lang w:eastAsia="en-US"/>
        </w:rPr>
        <w:t>S. aureus</w:t>
      </w:r>
      <w:r w:rsidRPr="007943A0">
        <w:rPr>
          <w:rFonts w:eastAsia="Calibri"/>
          <w:color w:val="000000"/>
          <w:sz w:val="20"/>
          <w:szCs w:val="20"/>
          <w:vertAlign w:val="subscript"/>
          <w:lang w:eastAsia="en-US"/>
        </w:rPr>
        <w:t>ATCC 29213</w:t>
      </w:r>
      <w:r w:rsidRPr="007943A0">
        <w:rPr>
          <w:rFonts w:eastAsia="Calibri"/>
          <w:color w:val="000000"/>
          <w:sz w:val="20"/>
          <w:szCs w:val="20"/>
          <w:lang w:eastAsia="en-US"/>
        </w:rPr>
        <w:t xml:space="preserve"> </w:t>
      </w:r>
      <w:r w:rsidRPr="007943A0">
        <w:rPr>
          <w:rFonts w:eastAsia="Calibri"/>
          <w:color w:val="000000"/>
          <w:lang w:eastAsia="en-US"/>
        </w:rPr>
        <w:t>(32)</w:t>
      </w:r>
      <w:r w:rsidRPr="007943A0">
        <w:rPr>
          <w:rFonts w:ascii="Calibri" w:eastAsia="Calibri" w:hAnsi="Calibri"/>
          <w:color w:val="auto"/>
          <w:sz w:val="22"/>
          <w:szCs w:val="22"/>
          <w:lang w:val="en-US" w:eastAsia="en-US"/>
        </w:rPr>
        <w:t xml:space="preserve"> </w:t>
      </w:r>
      <w:r w:rsidRPr="007943A0">
        <w:rPr>
          <w:rFonts w:eastAsia="Calibri"/>
          <w:color w:val="000000"/>
          <w:sz w:val="20"/>
          <w:szCs w:val="20"/>
          <w:lang w:eastAsia="en-US"/>
        </w:rPr>
        <w:t>&gt;</w:t>
      </w:r>
      <w:r w:rsidRPr="007943A0">
        <w:rPr>
          <w:rFonts w:ascii="Calibri" w:eastAsia="Calibri" w:hAnsi="Calibri"/>
          <w:color w:val="auto"/>
          <w:sz w:val="22"/>
          <w:szCs w:val="22"/>
          <w:lang w:val="en-US" w:eastAsia="en-US"/>
        </w:rPr>
        <w:t xml:space="preserve"> </w:t>
      </w:r>
      <w:r w:rsidRPr="007943A0">
        <w:rPr>
          <w:rFonts w:eastAsia="Calibri"/>
          <w:color w:val="000000"/>
          <w:lang w:eastAsia="en-US"/>
        </w:rPr>
        <w:t xml:space="preserve"> </w:t>
      </w:r>
      <w:r w:rsidRPr="007943A0">
        <w:rPr>
          <w:rFonts w:eastAsia="Calibri"/>
          <w:i/>
          <w:color w:val="000000"/>
          <w:lang w:eastAsia="en-US"/>
        </w:rPr>
        <w:t>E. coli</w:t>
      </w:r>
      <w:r w:rsidRPr="007943A0">
        <w:rPr>
          <w:rFonts w:eastAsia="Calibri"/>
          <w:color w:val="000000"/>
          <w:vertAlign w:val="subscript"/>
          <w:lang w:eastAsia="en-US"/>
        </w:rPr>
        <w:t xml:space="preserve">35218 </w:t>
      </w:r>
      <w:r w:rsidRPr="007943A0">
        <w:rPr>
          <w:rFonts w:eastAsia="Calibri"/>
          <w:color w:val="000000"/>
          <w:lang w:eastAsia="en-US"/>
        </w:rPr>
        <w:t>(29)</w:t>
      </w:r>
      <w:r w:rsidRPr="007943A0">
        <w:rPr>
          <w:rFonts w:ascii="Calibri" w:eastAsia="Calibri" w:hAnsi="Calibri"/>
          <w:color w:val="auto"/>
          <w:sz w:val="22"/>
          <w:szCs w:val="22"/>
          <w:lang w:val="en-US" w:eastAsia="en-US"/>
        </w:rPr>
        <w:t xml:space="preserve"> </w:t>
      </w:r>
      <w:r w:rsidRPr="007943A0">
        <w:rPr>
          <w:rFonts w:eastAsia="Calibri"/>
          <w:color w:val="000000"/>
          <w:lang w:eastAsia="en-US"/>
        </w:rPr>
        <w:t>&gt;</w:t>
      </w:r>
      <w:r w:rsidRPr="007943A0">
        <w:rPr>
          <w:rFonts w:eastAsia="Calibri"/>
          <w:i/>
          <w:color w:val="000000"/>
          <w:szCs w:val="22"/>
          <w:lang w:eastAsia="en-US"/>
        </w:rPr>
        <w:t xml:space="preserve"> E. coli</w:t>
      </w:r>
      <w:r w:rsidRPr="007943A0">
        <w:rPr>
          <w:rFonts w:eastAsia="Calibri"/>
          <w:color w:val="000000"/>
          <w:sz w:val="20"/>
          <w:szCs w:val="20"/>
          <w:vertAlign w:val="subscript"/>
          <w:lang w:eastAsia="en-US"/>
        </w:rPr>
        <w:t>25922</w:t>
      </w:r>
      <w:r w:rsidRPr="007943A0">
        <w:rPr>
          <w:rFonts w:eastAsia="Calibri"/>
          <w:color w:val="000000"/>
          <w:szCs w:val="22"/>
          <w:lang w:eastAsia="en-US"/>
        </w:rPr>
        <w:t>(26) &gt;</w:t>
      </w:r>
      <w:r w:rsidRPr="007943A0">
        <w:rPr>
          <w:rFonts w:ascii="Calibri" w:eastAsia="Calibri" w:hAnsi="Calibri"/>
          <w:i/>
          <w:color w:val="auto"/>
          <w:sz w:val="22"/>
          <w:lang w:val="en-US" w:eastAsia="en-US"/>
        </w:rPr>
        <w:t xml:space="preserve"> </w:t>
      </w:r>
      <w:r w:rsidRPr="007943A0">
        <w:rPr>
          <w:rFonts w:eastAsia="Calibri"/>
          <w:i/>
          <w:color w:val="auto"/>
          <w:lang w:val="en-US" w:eastAsia="en-US"/>
        </w:rPr>
        <w:t>P. putida</w:t>
      </w:r>
      <w:r w:rsidRPr="007943A0">
        <w:rPr>
          <w:rFonts w:eastAsia="Calibri"/>
          <w:color w:val="auto"/>
          <w:vertAlign w:val="subscript"/>
          <w:lang w:val="en-US" w:eastAsia="en-US"/>
        </w:rPr>
        <w:t>BC1617</w:t>
      </w:r>
      <w:r w:rsidRPr="007943A0">
        <w:rPr>
          <w:rFonts w:eastAsia="Calibri"/>
          <w:color w:val="000000"/>
          <w:szCs w:val="22"/>
          <w:lang w:eastAsia="en-US"/>
        </w:rPr>
        <w:t>(23) &gt;</w:t>
      </w:r>
      <w:r w:rsidRPr="007943A0">
        <w:rPr>
          <w:rFonts w:ascii="Calibri" w:eastAsia="Calibri" w:hAnsi="Calibri"/>
          <w:i/>
          <w:color w:val="auto"/>
          <w:sz w:val="22"/>
          <w:lang w:val="en-US" w:eastAsia="en-US"/>
        </w:rPr>
        <w:t xml:space="preserve"> </w:t>
      </w:r>
      <w:r w:rsidRPr="007943A0">
        <w:rPr>
          <w:rFonts w:eastAsia="Calibri"/>
          <w:i/>
          <w:color w:val="000000"/>
          <w:szCs w:val="22"/>
          <w:lang w:eastAsia="en-US"/>
        </w:rPr>
        <w:t>K. pnemoniae</w:t>
      </w:r>
      <w:r w:rsidRPr="007943A0">
        <w:rPr>
          <w:rFonts w:eastAsia="Calibri"/>
          <w:color w:val="000000"/>
          <w:szCs w:val="22"/>
          <w:vertAlign w:val="subscript"/>
          <w:lang w:eastAsia="en-US"/>
        </w:rPr>
        <w:t xml:space="preserve">BL2003 </w:t>
      </w:r>
      <w:r w:rsidRPr="007943A0">
        <w:rPr>
          <w:rFonts w:eastAsia="Calibri"/>
          <w:color w:val="000000"/>
          <w:szCs w:val="22"/>
          <w:lang w:eastAsia="en-US"/>
        </w:rPr>
        <w:t>(21)</w:t>
      </w:r>
      <w:r w:rsidRPr="007943A0">
        <w:rPr>
          <w:rFonts w:ascii="Calibri" w:eastAsia="Calibri" w:hAnsi="Calibri"/>
          <w:color w:val="auto"/>
          <w:sz w:val="22"/>
          <w:szCs w:val="22"/>
          <w:lang w:val="en-US" w:eastAsia="en-US"/>
        </w:rPr>
        <w:t xml:space="preserve"> </w:t>
      </w:r>
      <w:r w:rsidRPr="007943A0">
        <w:rPr>
          <w:rFonts w:eastAsia="Calibri"/>
          <w:color w:val="000000"/>
          <w:szCs w:val="22"/>
          <w:lang w:eastAsia="en-US"/>
        </w:rPr>
        <w:t>&gt;</w:t>
      </w:r>
      <w:r w:rsidRPr="007943A0">
        <w:rPr>
          <w:rFonts w:eastAsia="Calibri"/>
          <w:i/>
          <w:color w:val="000000"/>
          <w:szCs w:val="22"/>
          <w:lang w:eastAsia="en-US"/>
        </w:rPr>
        <w:t xml:space="preserve"> E. faecalis</w:t>
      </w:r>
      <w:r w:rsidRPr="007943A0">
        <w:rPr>
          <w:rFonts w:eastAsia="Calibri"/>
          <w:color w:val="000000"/>
          <w:szCs w:val="22"/>
          <w:vertAlign w:val="subscript"/>
          <w:lang w:eastAsia="en-US"/>
        </w:rPr>
        <w:t xml:space="preserve">ATCC29212 </w:t>
      </w:r>
      <w:r w:rsidRPr="007943A0">
        <w:rPr>
          <w:rFonts w:eastAsia="Calibri"/>
          <w:color w:val="000000"/>
          <w:szCs w:val="22"/>
          <w:lang w:eastAsia="en-US"/>
        </w:rPr>
        <w:t>(20) &gt;</w:t>
      </w:r>
      <w:r w:rsidRPr="007943A0">
        <w:rPr>
          <w:rFonts w:eastAsia="Calibri"/>
          <w:i/>
          <w:color w:val="000000"/>
          <w:szCs w:val="22"/>
          <w:lang w:eastAsia="en-US"/>
        </w:rPr>
        <w:t xml:space="preserve"> P. aeruginosa</w:t>
      </w:r>
      <w:r w:rsidRPr="007943A0">
        <w:rPr>
          <w:rFonts w:eastAsia="Calibri"/>
          <w:color w:val="000000"/>
          <w:sz w:val="20"/>
          <w:szCs w:val="20"/>
          <w:vertAlign w:val="subscript"/>
          <w:lang w:eastAsia="en-US"/>
        </w:rPr>
        <w:t xml:space="preserve">27853 </w:t>
      </w:r>
      <w:r w:rsidRPr="007943A0">
        <w:rPr>
          <w:rFonts w:eastAsia="Calibri"/>
          <w:color w:val="000000"/>
          <w:szCs w:val="22"/>
          <w:lang w:eastAsia="en-US"/>
        </w:rPr>
        <w:t>(18) şeklinde iken,</w:t>
      </w:r>
      <w:r w:rsidRPr="007943A0">
        <w:rPr>
          <w:rFonts w:ascii="Calibri" w:eastAsia="Calibri" w:hAnsi="Calibri"/>
          <w:color w:val="auto"/>
          <w:sz w:val="22"/>
          <w:szCs w:val="22"/>
          <w:lang w:val="en-US" w:eastAsia="en-US"/>
        </w:rPr>
        <w:t xml:space="preserve"> </w:t>
      </w:r>
      <w:r w:rsidRPr="007943A0">
        <w:rPr>
          <w:rFonts w:eastAsia="Calibri"/>
          <w:color w:val="000000"/>
          <w:szCs w:val="22"/>
          <w:lang w:eastAsia="en-US"/>
        </w:rPr>
        <w:t>DMSO’da çözünen (1-metil-4-hidroksi-4-fenil piperidin-3-il) (fenil) metanon bileşiğinin</w:t>
      </w:r>
      <w:r w:rsidRPr="007943A0">
        <w:rPr>
          <w:rFonts w:ascii="Calibri" w:eastAsia="Calibri" w:hAnsi="Calibri"/>
          <w:color w:val="auto"/>
          <w:sz w:val="22"/>
          <w:szCs w:val="22"/>
          <w:lang w:val="en-US" w:eastAsia="en-US"/>
        </w:rPr>
        <w:t xml:space="preserve"> </w:t>
      </w:r>
      <w:r w:rsidRPr="007943A0">
        <w:rPr>
          <w:rFonts w:eastAsia="Calibri"/>
          <w:color w:val="000000"/>
          <w:szCs w:val="22"/>
          <w:lang w:eastAsia="en-US"/>
        </w:rPr>
        <w:t>bakteri suşları üzerindeki etkisi ise zon büyüklüklerine göre;</w:t>
      </w:r>
      <w:r w:rsidRPr="007943A0">
        <w:rPr>
          <w:rFonts w:ascii="Calibri" w:eastAsia="Calibri" w:hAnsi="Calibri"/>
          <w:color w:val="auto"/>
          <w:sz w:val="22"/>
          <w:szCs w:val="22"/>
          <w:lang w:val="en-US" w:eastAsia="en-US"/>
        </w:rPr>
        <w:t xml:space="preserve"> </w:t>
      </w:r>
      <w:r w:rsidRPr="007943A0">
        <w:rPr>
          <w:rFonts w:eastAsia="Calibri"/>
          <w:color w:val="000000"/>
          <w:szCs w:val="22"/>
          <w:lang w:eastAsia="en-US"/>
        </w:rPr>
        <w:t>S. aureusATCC</w:t>
      </w:r>
      <w:r w:rsidRPr="007943A0">
        <w:rPr>
          <w:rFonts w:eastAsia="Calibri"/>
          <w:color w:val="000000"/>
          <w:szCs w:val="22"/>
          <w:vertAlign w:val="subscript"/>
          <w:lang w:eastAsia="en-US"/>
        </w:rPr>
        <w:t>29213</w:t>
      </w:r>
      <w:r w:rsidRPr="007943A0">
        <w:rPr>
          <w:rFonts w:eastAsia="Calibri"/>
          <w:color w:val="000000"/>
          <w:szCs w:val="22"/>
          <w:lang w:eastAsia="en-US"/>
        </w:rPr>
        <w:t xml:space="preserve"> (30) &gt;  E. coli</w:t>
      </w:r>
      <w:r w:rsidRPr="007943A0">
        <w:rPr>
          <w:rFonts w:eastAsia="Calibri"/>
          <w:color w:val="000000"/>
          <w:szCs w:val="22"/>
          <w:vertAlign w:val="subscript"/>
          <w:lang w:eastAsia="en-US"/>
        </w:rPr>
        <w:t>35218</w:t>
      </w:r>
      <w:r w:rsidRPr="007943A0">
        <w:rPr>
          <w:rFonts w:eastAsia="Calibri"/>
          <w:color w:val="000000"/>
          <w:szCs w:val="22"/>
          <w:lang w:eastAsia="en-US"/>
        </w:rPr>
        <w:t xml:space="preserve"> (24) &gt;</w:t>
      </w:r>
      <w:r w:rsidRPr="007943A0">
        <w:rPr>
          <w:rFonts w:eastAsia="Calibri"/>
          <w:i/>
          <w:color w:val="auto"/>
          <w:lang w:val="en-US" w:eastAsia="en-US"/>
        </w:rPr>
        <w:t xml:space="preserve"> P. putida</w:t>
      </w:r>
      <w:r w:rsidRPr="007943A0">
        <w:rPr>
          <w:rFonts w:eastAsia="Calibri"/>
          <w:color w:val="auto"/>
          <w:vertAlign w:val="subscript"/>
          <w:lang w:val="en-US" w:eastAsia="en-US"/>
        </w:rPr>
        <w:t>BC1617</w:t>
      </w:r>
      <w:r w:rsidRPr="007943A0">
        <w:rPr>
          <w:rFonts w:eastAsia="Calibri"/>
          <w:color w:val="000000"/>
          <w:szCs w:val="22"/>
          <w:lang w:eastAsia="en-US"/>
        </w:rPr>
        <w:t xml:space="preserve"> (20) &gt; </w:t>
      </w:r>
      <w:r w:rsidRPr="007943A0">
        <w:rPr>
          <w:rFonts w:eastAsia="Calibri"/>
          <w:i/>
          <w:color w:val="000000"/>
          <w:szCs w:val="22"/>
          <w:lang w:eastAsia="en-US"/>
        </w:rPr>
        <w:t>E. coli</w:t>
      </w:r>
      <w:r w:rsidRPr="007943A0">
        <w:rPr>
          <w:rFonts w:eastAsia="Calibri"/>
          <w:color w:val="000000"/>
          <w:szCs w:val="22"/>
          <w:vertAlign w:val="subscript"/>
          <w:lang w:eastAsia="en-US"/>
        </w:rPr>
        <w:t>25922</w:t>
      </w:r>
      <w:r w:rsidRPr="007943A0">
        <w:rPr>
          <w:rFonts w:eastAsia="Calibri"/>
          <w:color w:val="000000"/>
          <w:szCs w:val="22"/>
          <w:lang w:eastAsia="en-US"/>
        </w:rPr>
        <w:t xml:space="preserve"> (19) &gt; </w:t>
      </w:r>
      <w:r w:rsidRPr="007943A0">
        <w:rPr>
          <w:rFonts w:eastAsia="Calibri"/>
          <w:i/>
          <w:color w:val="000000"/>
          <w:szCs w:val="22"/>
          <w:lang w:eastAsia="en-US"/>
        </w:rPr>
        <w:t>E. faecalis</w:t>
      </w:r>
      <w:r w:rsidRPr="007943A0">
        <w:rPr>
          <w:rFonts w:eastAsia="Calibri"/>
          <w:color w:val="000000"/>
          <w:szCs w:val="22"/>
          <w:vertAlign w:val="subscript"/>
          <w:lang w:eastAsia="en-US"/>
        </w:rPr>
        <w:t xml:space="preserve">ATCC29212 </w:t>
      </w:r>
      <w:r w:rsidRPr="007943A0">
        <w:rPr>
          <w:rFonts w:eastAsia="Calibri"/>
          <w:color w:val="000000"/>
          <w:szCs w:val="22"/>
          <w:lang w:eastAsia="en-US"/>
        </w:rPr>
        <w:t>(17) &gt; K. pnemoniae</w:t>
      </w:r>
      <w:r w:rsidRPr="007943A0">
        <w:rPr>
          <w:rFonts w:eastAsia="Calibri"/>
          <w:color w:val="000000"/>
          <w:szCs w:val="22"/>
          <w:vertAlign w:val="subscript"/>
          <w:lang w:eastAsia="en-US"/>
        </w:rPr>
        <w:t>BL2003</w:t>
      </w:r>
      <w:r w:rsidRPr="007943A0">
        <w:rPr>
          <w:rFonts w:eastAsia="Calibri"/>
          <w:color w:val="000000"/>
          <w:szCs w:val="22"/>
          <w:lang w:eastAsia="en-US"/>
        </w:rPr>
        <w:t xml:space="preserve"> (13) &gt; P. aeruginosa</w:t>
      </w:r>
      <w:r w:rsidRPr="007943A0">
        <w:rPr>
          <w:rFonts w:eastAsia="Calibri"/>
          <w:color w:val="000000"/>
          <w:szCs w:val="22"/>
          <w:vertAlign w:val="subscript"/>
          <w:lang w:eastAsia="en-US"/>
        </w:rPr>
        <w:t xml:space="preserve">27853 </w:t>
      </w:r>
      <w:r w:rsidRPr="007943A0">
        <w:rPr>
          <w:rFonts w:eastAsia="Calibri"/>
          <w:color w:val="000000"/>
          <w:szCs w:val="22"/>
          <w:lang w:eastAsia="en-US"/>
        </w:rPr>
        <w:t xml:space="preserve">(9) şeklinde olduğu gözlemlenmiştir. Hem etanolde hemde DMSO’da çözünmesiyle elde edilen maddenin antibiyotiklerden daha yüksek zon çapı oluşturduğu, sadece DMSO’da çözünen maddenin </w:t>
      </w:r>
      <w:r w:rsidRPr="007943A0">
        <w:rPr>
          <w:rFonts w:eastAsia="Calibri"/>
          <w:i/>
          <w:color w:val="000000"/>
          <w:szCs w:val="22"/>
          <w:lang w:eastAsia="en-US"/>
        </w:rPr>
        <w:t>E. faecalis</w:t>
      </w:r>
      <w:r w:rsidRPr="007943A0">
        <w:rPr>
          <w:rFonts w:eastAsia="Calibri"/>
          <w:color w:val="000000"/>
          <w:szCs w:val="22"/>
          <w:vertAlign w:val="subscript"/>
          <w:lang w:eastAsia="en-US"/>
        </w:rPr>
        <w:t xml:space="preserve">ATCC29212 </w:t>
      </w:r>
      <w:r w:rsidRPr="007943A0">
        <w:rPr>
          <w:rFonts w:eastAsia="Calibri"/>
          <w:color w:val="000000"/>
          <w:szCs w:val="22"/>
          <w:lang w:eastAsia="en-US"/>
        </w:rPr>
        <w:t>ve P. aeruginosa</w:t>
      </w:r>
      <w:r w:rsidRPr="007943A0">
        <w:rPr>
          <w:rFonts w:eastAsia="Calibri"/>
          <w:color w:val="000000"/>
          <w:szCs w:val="22"/>
          <w:vertAlign w:val="subscript"/>
          <w:lang w:eastAsia="en-US"/>
        </w:rPr>
        <w:t>27853</w:t>
      </w:r>
      <w:r w:rsidRPr="007943A0">
        <w:rPr>
          <w:rFonts w:eastAsia="Calibri"/>
          <w:color w:val="000000"/>
          <w:szCs w:val="22"/>
          <w:lang w:eastAsia="en-US"/>
        </w:rPr>
        <w:t xml:space="preserve"> suşlarında antibiyotikli diklere yakın değerler gösterdiği görülmüştür (Tablo 3.1.)</w:t>
      </w:r>
    </w:p>
    <w:p w14:paraId="2DF69914" w14:textId="78F45FCC" w:rsidR="007943A0" w:rsidRPr="007943A0" w:rsidRDefault="007D23D3" w:rsidP="008F2DA3">
      <w:pPr>
        <w:widowControl w:val="0"/>
        <w:autoSpaceDE w:val="0"/>
        <w:autoSpaceDN w:val="0"/>
        <w:adjustRightInd w:val="0"/>
        <w:spacing w:after="0" w:line="360" w:lineRule="auto"/>
        <w:ind w:firstLine="567"/>
        <w:jc w:val="both"/>
        <w:rPr>
          <w:rFonts w:eastAsia="Calibri"/>
          <w:color w:val="000000"/>
          <w:szCs w:val="22"/>
          <w:lang w:eastAsia="en-US"/>
        </w:rPr>
      </w:pPr>
      <w:r>
        <w:rPr>
          <w:rFonts w:eastAsia="Times New Roman"/>
          <w:color w:val="212121"/>
        </w:rPr>
        <w:t>Etanolde çözünen (1-</w:t>
      </w:r>
      <w:r w:rsidR="007943A0" w:rsidRPr="007943A0">
        <w:rPr>
          <w:rFonts w:eastAsia="Times New Roman"/>
          <w:color w:val="212121"/>
        </w:rPr>
        <w:t>etil-4-hidroksi-4-fenilpiperidin-3-il)(fenil)metanon bileşiğinin ise</w:t>
      </w:r>
      <w:r w:rsidR="007943A0" w:rsidRPr="007943A0">
        <w:rPr>
          <w:rFonts w:eastAsia="Calibri"/>
          <w:color w:val="000000"/>
          <w:szCs w:val="22"/>
          <w:lang w:eastAsia="en-US"/>
        </w:rPr>
        <w:t xml:space="preserve"> bakteri suşları üzerindeki etkisi</w:t>
      </w:r>
      <w:r w:rsidR="007943A0" w:rsidRPr="007943A0">
        <w:rPr>
          <w:rFonts w:eastAsia="Times New Roman"/>
          <w:color w:val="212121"/>
        </w:rPr>
        <w:t xml:space="preserve"> zon çapları büyüklüklerine göre; </w:t>
      </w:r>
      <w:r w:rsidR="007943A0" w:rsidRPr="007943A0">
        <w:rPr>
          <w:rFonts w:eastAsia="Calibri"/>
          <w:i/>
          <w:color w:val="000000"/>
          <w:szCs w:val="22"/>
          <w:lang w:eastAsia="en-US"/>
        </w:rPr>
        <w:t>S. aureus</w:t>
      </w:r>
      <w:r w:rsidR="007943A0" w:rsidRPr="007943A0">
        <w:rPr>
          <w:rFonts w:eastAsia="Calibri"/>
          <w:color w:val="000000"/>
          <w:sz w:val="20"/>
          <w:szCs w:val="20"/>
          <w:vertAlign w:val="subscript"/>
          <w:lang w:eastAsia="en-US"/>
        </w:rPr>
        <w:t>ATCC 29213</w:t>
      </w:r>
      <w:r w:rsidR="007943A0" w:rsidRPr="007943A0">
        <w:rPr>
          <w:rFonts w:eastAsia="Calibri"/>
          <w:color w:val="000000"/>
          <w:sz w:val="20"/>
          <w:szCs w:val="20"/>
          <w:lang w:eastAsia="en-US"/>
        </w:rPr>
        <w:t xml:space="preserve"> </w:t>
      </w:r>
      <w:r w:rsidR="007943A0" w:rsidRPr="007943A0">
        <w:rPr>
          <w:rFonts w:eastAsia="Calibri"/>
          <w:color w:val="000000"/>
          <w:lang w:eastAsia="en-US"/>
        </w:rPr>
        <w:t>(32)</w:t>
      </w:r>
      <w:r w:rsidR="007943A0" w:rsidRPr="007943A0">
        <w:rPr>
          <w:rFonts w:ascii="Calibri" w:eastAsia="Calibri" w:hAnsi="Calibri"/>
          <w:color w:val="auto"/>
          <w:sz w:val="22"/>
          <w:szCs w:val="22"/>
          <w:lang w:val="en-US" w:eastAsia="en-US"/>
        </w:rPr>
        <w:t xml:space="preserve"> </w:t>
      </w:r>
      <w:r w:rsidR="007943A0" w:rsidRPr="007943A0">
        <w:rPr>
          <w:rFonts w:eastAsia="Calibri"/>
          <w:color w:val="000000"/>
          <w:sz w:val="20"/>
          <w:szCs w:val="20"/>
          <w:lang w:eastAsia="en-US"/>
        </w:rPr>
        <w:t>&gt;</w:t>
      </w:r>
      <w:r w:rsidR="007943A0" w:rsidRPr="007943A0">
        <w:rPr>
          <w:rFonts w:ascii="Calibri" w:eastAsia="Calibri" w:hAnsi="Calibri"/>
          <w:color w:val="auto"/>
          <w:sz w:val="22"/>
          <w:szCs w:val="22"/>
          <w:lang w:val="en-US" w:eastAsia="en-US"/>
        </w:rPr>
        <w:t xml:space="preserve"> </w:t>
      </w:r>
      <w:r w:rsidR="007943A0" w:rsidRPr="007943A0">
        <w:rPr>
          <w:rFonts w:eastAsia="Calibri"/>
          <w:color w:val="000000"/>
          <w:lang w:eastAsia="en-US"/>
        </w:rPr>
        <w:t xml:space="preserve"> </w:t>
      </w:r>
      <w:r w:rsidR="007943A0" w:rsidRPr="007943A0">
        <w:rPr>
          <w:rFonts w:eastAsia="Calibri"/>
          <w:i/>
          <w:color w:val="000000"/>
          <w:lang w:eastAsia="en-US"/>
        </w:rPr>
        <w:t>E. coli</w:t>
      </w:r>
      <w:r w:rsidR="007943A0" w:rsidRPr="007943A0">
        <w:rPr>
          <w:rFonts w:eastAsia="Calibri"/>
          <w:color w:val="000000"/>
          <w:vertAlign w:val="subscript"/>
          <w:lang w:eastAsia="en-US"/>
        </w:rPr>
        <w:t xml:space="preserve">35218 </w:t>
      </w:r>
      <w:r w:rsidR="007943A0" w:rsidRPr="007943A0">
        <w:rPr>
          <w:rFonts w:eastAsia="Calibri"/>
          <w:color w:val="000000"/>
          <w:lang w:eastAsia="en-US"/>
        </w:rPr>
        <w:t>(25)</w:t>
      </w:r>
      <w:r w:rsidR="007943A0" w:rsidRPr="007943A0">
        <w:rPr>
          <w:rFonts w:ascii="Calibri" w:eastAsia="Calibri" w:hAnsi="Calibri"/>
          <w:color w:val="auto"/>
          <w:sz w:val="22"/>
          <w:szCs w:val="22"/>
          <w:lang w:val="en-US" w:eastAsia="en-US"/>
        </w:rPr>
        <w:t xml:space="preserve"> </w:t>
      </w:r>
      <w:r w:rsidR="007943A0" w:rsidRPr="007943A0">
        <w:rPr>
          <w:rFonts w:eastAsia="Calibri"/>
          <w:color w:val="000000"/>
          <w:lang w:eastAsia="en-US"/>
        </w:rPr>
        <w:t>&gt;</w:t>
      </w:r>
      <w:r w:rsidR="007943A0" w:rsidRPr="007943A0">
        <w:rPr>
          <w:rFonts w:eastAsia="Calibri"/>
          <w:i/>
          <w:color w:val="000000"/>
          <w:szCs w:val="22"/>
          <w:lang w:eastAsia="en-US"/>
        </w:rPr>
        <w:t xml:space="preserve"> E. coli</w:t>
      </w:r>
      <w:r w:rsidR="007943A0" w:rsidRPr="007943A0">
        <w:rPr>
          <w:rFonts w:eastAsia="Calibri"/>
          <w:color w:val="000000"/>
          <w:sz w:val="20"/>
          <w:szCs w:val="20"/>
          <w:vertAlign w:val="subscript"/>
          <w:lang w:eastAsia="en-US"/>
        </w:rPr>
        <w:t>25922</w:t>
      </w:r>
      <w:r w:rsidR="007943A0" w:rsidRPr="007943A0">
        <w:rPr>
          <w:rFonts w:eastAsia="Calibri"/>
          <w:color w:val="000000"/>
          <w:szCs w:val="22"/>
          <w:lang w:eastAsia="en-US"/>
        </w:rPr>
        <w:t xml:space="preserve">(21) = </w:t>
      </w:r>
      <w:r w:rsidR="007943A0" w:rsidRPr="007943A0">
        <w:rPr>
          <w:rFonts w:eastAsia="Calibri"/>
          <w:i/>
          <w:color w:val="auto"/>
          <w:lang w:val="en-US" w:eastAsia="en-US"/>
        </w:rPr>
        <w:t>P. putida</w:t>
      </w:r>
      <w:r w:rsidR="007943A0" w:rsidRPr="007943A0">
        <w:rPr>
          <w:rFonts w:eastAsia="Calibri"/>
          <w:color w:val="auto"/>
          <w:vertAlign w:val="subscript"/>
          <w:lang w:val="en-US" w:eastAsia="en-US"/>
        </w:rPr>
        <w:t>BC1617</w:t>
      </w:r>
      <w:r w:rsidR="007943A0" w:rsidRPr="007943A0">
        <w:rPr>
          <w:rFonts w:eastAsia="Calibri"/>
          <w:color w:val="000000"/>
          <w:szCs w:val="22"/>
          <w:lang w:eastAsia="en-US"/>
        </w:rPr>
        <w:t xml:space="preserve">(20) = </w:t>
      </w:r>
      <w:r w:rsidR="007943A0" w:rsidRPr="007943A0">
        <w:rPr>
          <w:rFonts w:eastAsia="Calibri"/>
          <w:i/>
          <w:color w:val="000000"/>
          <w:szCs w:val="22"/>
          <w:lang w:eastAsia="en-US"/>
        </w:rPr>
        <w:t>E. faecalis</w:t>
      </w:r>
      <w:r w:rsidR="007943A0" w:rsidRPr="007943A0">
        <w:rPr>
          <w:rFonts w:eastAsia="Calibri"/>
          <w:color w:val="000000"/>
          <w:szCs w:val="22"/>
          <w:vertAlign w:val="subscript"/>
          <w:lang w:eastAsia="en-US"/>
        </w:rPr>
        <w:t xml:space="preserve">ATCC29212 </w:t>
      </w:r>
      <w:r w:rsidR="007943A0" w:rsidRPr="007943A0">
        <w:rPr>
          <w:rFonts w:eastAsia="Calibri"/>
          <w:color w:val="000000"/>
          <w:szCs w:val="22"/>
          <w:lang w:eastAsia="en-US"/>
        </w:rPr>
        <w:t xml:space="preserve">(20) &gt; </w:t>
      </w:r>
      <w:r w:rsidR="007943A0" w:rsidRPr="007943A0">
        <w:rPr>
          <w:rFonts w:eastAsia="Calibri"/>
          <w:i/>
          <w:color w:val="000000"/>
          <w:szCs w:val="22"/>
          <w:lang w:eastAsia="en-US"/>
        </w:rPr>
        <w:t>K. pnemoniae</w:t>
      </w:r>
      <w:r w:rsidR="007943A0" w:rsidRPr="007943A0">
        <w:rPr>
          <w:rFonts w:eastAsia="Calibri"/>
          <w:color w:val="000000"/>
          <w:szCs w:val="22"/>
          <w:vertAlign w:val="subscript"/>
          <w:lang w:eastAsia="en-US"/>
        </w:rPr>
        <w:t xml:space="preserve">BL2003 </w:t>
      </w:r>
      <w:r w:rsidR="007943A0" w:rsidRPr="007943A0">
        <w:rPr>
          <w:rFonts w:eastAsia="Calibri"/>
          <w:color w:val="000000"/>
          <w:szCs w:val="22"/>
          <w:lang w:eastAsia="en-US"/>
        </w:rPr>
        <w:t>(19)</w:t>
      </w:r>
      <w:r w:rsidR="007943A0" w:rsidRPr="007943A0">
        <w:rPr>
          <w:rFonts w:ascii="Calibri" w:eastAsia="Calibri" w:hAnsi="Calibri"/>
          <w:color w:val="auto"/>
          <w:sz w:val="22"/>
          <w:szCs w:val="22"/>
          <w:lang w:val="en-US" w:eastAsia="en-US"/>
        </w:rPr>
        <w:t xml:space="preserve"> </w:t>
      </w:r>
      <w:r w:rsidR="007943A0" w:rsidRPr="007943A0">
        <w:rPr>
          <w:rFonts w:eastAsia="Calibri"/>
          <w:color w:val="000000"/>
          <w:szCs w:val="22"/>
          <w:lang w:eastAsia="en-US"/>
        </w:rPr>
        <w:t>&gt;</w:t>
      </w:r>
      <w:r w:rsidR="007943A0" w:rsidRPr="007943A0">
        <w:rPr>
          <w:rFonts w:eastAsia="Calibri"/>
          <w:i/>
          <w:color w:val="000000"/>
          <w:szCs w:val="22"/>
          <w:lang w:eastAsia="en-US"/>
        </w:rPr>
        <w:t xml:space="preserve"> P. aeruginosa</w:t>
      </w:r>
      <w:r w:rsidR="007943A0" w:rsidRPr="007943A0">
        <w:rPr>
          <w:rFonts w:eastAsia="Calibri"/>
          <w:color w:val="000000"/>
          <w:sz w:val="20"/>
          <w:szCs w:val="20"/>
          <w:vertAlign w:val="subscript"/>
          <w:lang w:eastAsia="en-US"/>
        </w:rPr>
        <w:t xml:space="preserve">27853 </w:t>
      </w:r>
      <w:r w:rsidR="007943A0" w:rsidRPr="007943A0">
        <w:rPr>
          <w:rFonts w:eastAsia="Calibri"/>
          <w:color w:val="000000"/>
          <w:szCs w:val="22"/>
          <w:lang w:eastAsia="en-US"/>
        </w:rPr>
        <w:t>(14) şeklinde iken,</w:t>
      </w:r>
      <w:r w:rsidR="007943A0" w:rsidRPr="007943A0">
        <w:rPr>
          <w:rFonts w:ascii="Calibri" w:eastAsia="Calibri" w:hAnsi="Calibri"/>
          <w:color w:val="auto"/>
          <w:sz w:val="22"/>
          <w:szCs w:val="22"/>
          <w:lang w:val="en-US" w:eastAsia="en-US"/>
        </w:rPr>
        <w:t xml:space="preserve"> </w:t>
      </w:r>
      <w:r w:rsidR="007943A0" w:rsidRPr="007943A0">
        <w:rPr>
          <w:rFonts w:eastAsia="Calibri"/>
          <w:color w:val="000000"/>
          <w:szCs w:val="22"/>
          <w:lang w:eastAsia="en-US"/>
        </w:rPr>
        <w:t>DMSO’da çözünen (1-etil-4-hidroksi-4-fenil piperidin-3-il) (fenil) metanon bileşiğinin</w:t>
      </w:r>
      <w:r w:rsidR="007943A0" w:rsidRPr="007943A0">
        <w:rPr>
          <w:rFonts w:ascii="Calibri" w:eastAsia="Calibri" w:hAnsi="Calibri"/>
          <w:color w:val="auto"/>
          <w:sz w:val="22"/>
          <w:szCs w:val="22"/>
          <w:lang w:val="en-US" w:eastAsia="en-US"/>
        </w:rPr>
        <w:t xml:space="preserve"> </w:t>
      </w:r>
      <w:r w:rsidR="007943A0" w:rsidRPr="007943A0">
        <w:rPr>
          <w:rFonts w:eastAsia="Calibri"/>
          <w:color w:val="000000"/>
          <w:szCs w:val="22"/>
          <w:lang w:eastAsia="en-US"/>
        </w:rPr>
        <w:t>bakteri suşları üzerindeki etkisi ise zon büyüklüklerine göre;</w:t>
      </w:r>
      <w:r w:rsidR="007943A0" w:rsidRPr="007943A0">
        <w:rPr>
          <w:rFonts w:ascii="Calibri" w:eastAsia="Calibri" w:hAnsi="Calibri"/>
          <w:color w:val="auto"/>
          <w:sz w:val="22"/>
          <w:szCs w:val="22"/>
          <w:lang w:val="en-US" w:eastAsia="en-US"/>
        </w:rPr>
        <w:t xml:space="preserve">  </w:t>
      </w:r>
      <w:r w:rsidR="007943A0" w:rsidRPr="007943A0">
        <w:rPr>
          <w:rFonts w:eastAsia="Calibri"/>
          <w:color w:val="000000"/>
          <w:szCs w:val="22"/>
          <w:lang w:eastAsia="en-US"/>
        </w:rPr>
        <w:t>S. aureusATCC</w:t>
      </w:r>
      <w:r w:rsidR="007943A0" w:rsidRPr="007943A0">
        <w:rPr>
          <w:rFonts w:eastAsia="Calibri"/>
          <w:color w:val="000000"/>
          <w:szCs w:val="22"/>
          <w:vertAlign w:val="subscript"/>
          <w:lang w:eastAsia="en-US"/>
        </w:rPr>
        <w:t>29213</w:t>
      </w:r>
      <w:r w:rsidR="007943A0" w:rsidRPr="007943A0">
        <w:rPr>
          <w:rFonts w:eastAsia="Calibri"/>
          <w:color w:val="000000"/>
          <w:szCs w:val="22"/>
          <w:lang w:eastAsia="en-US"/>
        </w:rPr>
        <w:t xml:space="preserve"> (17) &gt;E. coli</w:t>
      </w:r>
      <w:r w:rsidR="007943A0" w:rsidRPr="007943A0">
        <w:rPr>
          <w:rFonts w:eastAsia="Calibri"/>
          <w:color w:val="000000"/>
          <w:szCs w:val="22"/>
          <w:vertAlign w:val="subscript"/>
          <w:lang w:eastAsia="en-US"/>
        </w:rPr>
        <w:t>35218</w:t>
      </w:r>
      <w:r w:rsidR="007943A0" w:rsidRPr="007943A0">
        <w:rPr>
          <w:rFonts w:eastAsia="Calibri"/>
          <w:color w:val="000000"/>
          <w:szCs w:val="22"/>
          <w:lang w:eastAsia="en-US"/>
        </w:rPr>
        <w:t xml:space="preserve"> (16) &gt;</w:t>
      </w:r>
      <w:r w:rsidR="007943A0" w:rsidRPr="007943A0">
        <w:rPr>
          <w:rFonts w:eastAsia="Calibri"/>
          <w:i/>
          <w:color w:val="auto"/>
          <w:lang w:val="en-US" w:eastAsia="en-US"/>
        </w:rPr>
        <w:t xml:space="preserve"> </w:t>
      </w:r>
      <w:r w:rsidR="007943A0" w:rsidRPr="007943A0">
        <w:rPr>
          <w:rFonts w:eastAsia="Calibri"/>
          <w:color w:val="000000"/>
          <w:szCs w:val="22"/>
          <w:lang w:eastAsia="en-US"/>
        </w:rPr>
        <w:t xml:space="preserve"> </w:t>
      </w:r>
      <w:r w:rsidR="007943A0" w:rsidRPr="007943A0">
        <w:rPr>
          <w:rFonts w:eastAsia="Calibri"/>
          <w:i/>
          <w:color w:val="000000"/>
          <w:szCs w:val="22"/>
          <w:lang w:eastAsia="en-US"/>
        </w:rPr>
        <w:t>E. coli</w:t>
      </w:r>
      <w:r w:rsidR="007943A0" w:rsidRPr="007943A0">
        <w:rPr>
          <w:rFonts w:eastAsia="Calibri"/>
          <w:color w:val="000000"/>
          <w:szCs w:val="22"/>
          <w:vertAlign w:val="subscript"/>
          <w:lang w:eastAsia="en-US"/>
        </w:rPr>
        <w:t>25922</w:t>
      </w:r>
      <w:r w:rsidR="007943A0" w:rsidRPr="007943A0">
        <w:rPr>
          <w:rFonts w:eastAsia="Calibri"/>
          <w:color w:val="000000"/>
          <w:szCs w:val="22"/>
          <w:lang w:eastAsia="en-US"/>
        </w:rPr>
        <w:t xml:space="preserve"> (12) şeklinde olduğu diğer suşlar üzerinde etkli olmadığı gözlemlenmiştir. Hem etanolde hemde DMSO’da çözünmesiyle elde edilen maddenin etkili olduğu suşlar üzerinde antibiyotiklerden daha yüksek zon çapı oluşturduğu, sadece DMSO’da çözünen maddenin </w:t>
      </w:r>
      <w:r w:rsidR="007943A0" w:rsidRPr="007943A0">
        <w:rPr>
          <w:rFonts w:eastAsia="Calibri"/>
          <w:i/>
          <w:color w:val="000000"/>
          <w:szCs w:val="22"/>
          <w:lang w:eastAsia="en-US"/>
        </w:rPr>
        <w:t>S. aureusATCC</w:t>
      </w:r>
      <w:r w:rsidR="007943A0" w:rsidRPr="007943A0">
        <w:rPr>
          <w:rFonts w:eastAsia="Calibri"/>
          <w:i/>
          <w:color w:val="000000"/>
          <w:szCs w:val="22"/>
          <w:vertAlign w:val="subscript"/>
          <w:lang w:eastAsia="en-US"/>
        </w:rPr>
        <w:t>29213</w:t>
      </w:r>
      <w:r w:rsidR="007943A0" w:rsidRPr="007943A0">
        <w:rPr>
          <w:rFonts w:eastAsia="Calibri"/>
          <w:i/>
          <w:color w:val="000000"/>
          <w:szCs w:val="22"/>
          <w:lang w:eastAsia="en-US"/>
        </w:rPr>
        <w:t xml:space="preserve"> </w:t>
      </w:r>
      <w:r w:rsidR="007943A0" w:rsidRPr="007943A0">
        <w:rPr>
          <w:rFonts w:eastAsia="Calibri"/>
          <w:color w:val="000000"/>
          <w:szCs w:val="22"/>
          <w:lang w:eastAsia="en-US"/>
        </w:rPr>
        <w:t xml:space="preserve">ve </w:t>
      </w:r>
      <w:r w:rsidR="007943A0" w:rsidRPr="007943A0">
        <w:rPr>
          <w:rFonts w:eastAsia="Calibri"/>
          <w:i/>
          <w:color w:val="000000"/>
          <w:szCs w:val="22"/>
          <w:lang w:eastAsia="en-US"/>
        </w:rPr>
        <w:t>E. coli</w:t>
      </w:r>
      <w:r w:rsidR="007943A0" w:rsidRPr="007943A0">
        <w:rPr>
          <w:rFonts w:eastAsia="Calibri"/>
          <w:color w:val="000000"/>
          <w:szCs w:val="22"/>
          <w:vertAlign w:val="subscript"/>
          <w:lang w:eastAsia="en-US"/>
        </w:rPr>
        <w:t>25922</w:t>
      </w:r>
      <w:r w:rsidR="007943A0" w:rsidRPr="007943A0">
        <w:rPr>
          <w:rFonts w:eastAsia="Calibri"/>
          <w:color w:val="000000"/>
          <w:szCs w:val="22"/>
          <w:lang w:eastAsia="en-US"/>
        </w:rPr>
        <w:t xml:space="preserve"> suşlarında ve etanolde çözünen maddenin ise </w:t>
      </w:r>
      <w:r w:rsidR="007943A0" w:rsidRPr="007943A0">
        <w:rPr>
          <w:rFonts w:eastAsia="Calibri"/>
          <w:i/>
          <w:color w:val="auto"/>
          <w:lang w:val="en-US" w:eastAsia="en-US"/>
        </w:rPr>
        <w:t>P. putida</w:t>
      </w:r>
      <w:r w:rsidR="007943A0" w:rsidRPr="007943A0">
        <w:rPr>
          <w:rFonts w:eastAsia="Calibri"/>
          <w:color w:val="auto"/>
          <w:vertAlign w:val="subscript"/>
          <w:lang w:val="en-US" w:eastAsia="en-US"/>
        </w:rPr>
        <w:t>BC1617</w:t>
      </w:r>
      <w:r w:rsidR="007943A0" w:rsidRPr="007943A0">
        <w:rPr>
          <w:rFonts w:eastAsia="Calibri"/>
          <w:b/>
          <w:color w:val="auto"/>
          <w:lang w:val="en-US" w:eastAsia="en-US"/>
        </w:rPr>
        <w:t xml:space="preserve"> </w:t>
      </w:r>
      <w:r w:rsidR="007943A0" w:rsidRPr="007943A0">
        <w:rPr>
          <w:rFonts w:eastAsia="Calibri"/>
          <w:color w:val="auto"/>
          <w:lang w:val="en-US" w:eastAsia="en-US"/>
        </w:rPr>
        <w:t xml:space="preserve">suşları üzerinde </w:t>
      </w:r>
      <w:r w:rsidR="007943A0" w:rsidRPr="007943A0">
        <w:rPr>
          <w:rFonts w:eastAsia="Calibri"/>
          <w:color w:val="000000"/>
          <w:szCs w:val="22"/>
          <w:lang w:eastAsia="en-US"/>
        </w:rPr>
        <w:t>antibiyotikli diklere göre daha düşük zon ç</w:t>
      </w:r>
      <w:r w:rsidR="004A617F">
        <w:rPr>
          <w:rFonts w:eastAsia="Calibri"/>
          <w:color w:val="000000"/>
          <w:szCs w:val="22"/>
          <w:lang w:eastAsia="en-US"/>
        </w:rPr>
        <w:t xml:space="preserve">apları </w:t>
      </w:r>
      <w:r w:rsidR="007943A0" w:rsidRPr="007943A0">
        <w:rPr>
          <w:rFonts w:eastAsia="Calibri"/>
          <w:color w:val="000000"/>
          <w:szCs w:val="22"/>
          <w:lang w:eastAsia="en-US"/>
        </w:rPr>
        <w:t>oluşturduğu görülmüştür (Tablo 3.2.).</w:t>
      </w:r>
    </w:p>
    <w:p w14:paraId="685B6290" w14:textId="77777777" w:rsidR="007943A0" w:rsidRPr="007943A0" w:rsidRDefault="007943A0" w:rsidP="008F2DA3">
      <w:pPr>
        <w:widowControl w:val="0"/>
        <w:autoSpaceDE w:val="0"/>
        <w:autoSpaceDN w:val="0"/>
        <w:adjustRightInd w:val="0"/>
        <w:spacing w:after="0" w:line="360" w:lineRule="auto"/>
        <w:ind w:firstLine="567"/>
        <w:jc w:val="both"/>
        <w:rPr>
          <w:rFonts w:eastAsia="Calibri"/>
          <w:color w:val="000000"/>
          <w:szCs w:val="22"/>
          <w:lang w:eastAsia="en-US"/>
        </w:rPr>
      </w:pPr>
      <w:r w:rsidRPr="007943A0">
        <w:rPr>
          <w:rFonts w:eastAsia="Calibri"/>
          <w:color w:val="000000"/>
          <w:szCs w:val="22"/>
          <w:lang w:eastAsia="en-US"/>
        </w:rPr>
        <w:t>Çalışmada ayrıca piperidin halkasına metil bağlı bileşiğe ait zon çapları ve etkili olduğu suş sayısının etil bağlı olandan daha fazla olduğuda gözlemlenmiştir.</w:t>
      </w:r>
      <w:r w:rsidRPr="007943A0">
        <w:rPr>
          <w:rFonts w:ascii="Calibri" w:eastAsia="Calibri" w:hAnsi="Calibri"/>
          <w:color w:val="auto"/>
          <w:sz w:val="22"/>
          <w:szCs w:val="22"/>
          <w:lang w:val="en-US" w:eastAsia="en-US"/>
        </w:rPr>
        <w:t xml:space="preserve"> </w:t>
      </w:r>
      <w:r w:rsidRPr="007943A0">
        <w:rPr>
          <w:rFonts w:eastAsia="Calibri"/>
          <w:color w:val="auto"/>
          <w:lang w:val="en-US" w:eastAsia="en-US"/>
        </w:rPr>
        <w:t>Bu durum için  yukarıda anlatılan</w:t>
      </w:r>
      <w:r w:rsidRPr="007943A0">
        <w:rPr>
          <w:rFonts w:ascii="Calibri" w:eastAsia="Calibri" w:hAnsi="Calibri"/>
          <w:color w:val="auto"/>
          <w:sz w:val="22"/>
          <w:szCs w:val="22"/>
          <w:lang w:val="en-US" w:eastAsia="en-US"/>
        </w:rPr>
        <w:t xml:space="preserve"> </w:t>
      </w:r>
      <w:r w:rsidRPr="007943A0">
        <w:rPr>
          <w:rFonts w:eastAsia="Calibri"/>
          <w:color w:val="000000"/>
          <w:szCs w:val="22"/>
          <w:lang w:eastAsia="en-US"/>
        </w:rPr>
        <w:t xml:space="preserve">Dang ve arkadaşlarının 2007 yılında yaptığı çalışma sonucunda amin kısmının alkil grubunun boyutunun, antibakteriyel aktivitenin belirlenmesinde önemli olabileceği ve bağlı metil grubunun optimal göründüğü ancak metilamine başka bir metil grubunun eklenmesi ile antibakteriyel aktivitenin azalmasına neden olduğu görüşü dikkate </w:t>
      </w:r>
      <w:r w:rsidRPr="007943A0">
        <w:rPr>
          <w:rFonts w:eastAsia="Calibri"/>
          <w:color w:val="000000"/>
          <w:szCs w:val="22"/>
          <w:lang w:eastAsia="en-US"/>
        </w:rPr>
        <w:lastRenderedPageBreak/>
        <w:t xml:space="preserve">alınabilir niteliktedir. </w:t>
      </w:r>
    </w:p>
    <w:p w14:paraId="14E12766" w14:textId="34B72E84" w:rsidR="007943A0" w:rsidRPr="007943A0" w:rsidRDefault="007943A0" w:rsidP="008F2DA3">
      <w:pPr>
        <w:widowControl w:val="0"/>
        <w:autoSpaceDE w:val="0"/>
        <w:autoSpaceDN w:val="0"/>
        <w:adjustRightInd w:val="0"/>
        <w:spacing w:after="0" w:line="360" w:lineRule="auto"/>
        <w:ind w:firstLine="567"/>
        <w:jc w:val="both"/>
        <w:rPr>
          <w:rFonts w:eastAsia="Calibri"/>
          <w:color w:val="000000"/>
          <w:szCs w:val="22"/>
          <w:lang w:eastAsia="en-US"/>
        </w:rPr>
      </w:pPr>
      <w:r w:rsidRPr="007943A0">
        <w:rPr>
          <w:rFonts w:eastAsia="Calibri"/>
          <w:color w:val="000000"/>
          <w:szCs w:val="22"/>
          <w:lang w:eastAsia="en-US"/>
        </w:rPr>
        <w:t>Yine yukarıda verilen diğer çalışmalar göz önüne alındığında bileşiklerin çoğunun, özellikle bazı bakteri türlerine karşı (</w:t>
      </w:r>
      <w:r w:rsidRPr="007943A0">
        <w:rPr>
          <w:rFonts w:eastAsia="Calibri"/>
          <w:i/>
          <w:color w:val="000000"/>
          <w:szCs w:val="22"/>
          <w:lang w:eastAsia="en-US"/>
        </w:rPr>
        <w:t>Staphylococcus aureus, Streptococcus pneumoniae, Enterococcus faecalis, Escherichia coli, Klebsiella pneumoniae, Pseudomonas aeruginosa</w:t>
      </w:r>
      <w:r w:rsidRPr="007943A0">
        <w:rPr>
          <w:rFonts w:eastAsia="Calibri"/>
          <w:color w:val="000000"/>
          <w:szCs w:val="22"/>
          <w:lang w:eastAsia="en-US"/>
        </w:rPr>
        <w:t xml:space="preserve"> gibi) yüksek </w:t>
      </w:r>
      <w:r w:rsidRPr="003A7E06">
        <w:rPr>
          <w:rFonts w:eastAsia="Calibri"/>
          <w:i/>
          <w:color w:val="000000"/>
          <w:szCs w:val="22"/>
          <w:lang w:eastAsia="en-US"/>
        </w:rPr>
        <w:t>in vitro</w:t>
      </w:r>
      <w:r w:rsidRPr="007943A0">
        <w:rPr>
          <w:rFonts w:eastAsia="Calibri"/>
          <w:color w:val="000000"/>
          <w:szCs w:val="22"/>
          <w:lang w:eastAsia="en-US"/>
        </w:rPr>
        <w:t xml:space="preserve"> antibakteriyel aktivite gösterdiği belirlenmiştir (</w:t>
      </w:r>
      <w:r w:rsidRPr="007943A0">
        <w:rPr>
          <w:rFonts w:ascii="Calibri" w:eastAsia="Calibri" w:hAnsi="Calibri"/>
          <w:color w:val="auto"/>
          <w:sz w:val="22"/>
          <w:szCs w:val="22"/>
          <w:lang w:val="en-US" w:eastAsia="en-US"/>
        </w:rPr>
        <w:t xml:space="preserve">Dang vd. 2007; </w:t>
      </w:r>
      <w:r w:rsidRPr="007943A0">
        <w:rPr>
          <w:rFonts w:eastAsia="Calibri"/>
          <w:color w:val="000000"/>
          <w:szCs w:val="22"/>
          <w:lang w:eastAsia="en-US"/>
        </w:rPr>
        <w:t>Aridoss vd.2008;</w:t>
      </w:r>
      <w:r w:rsidRPr="007943A0">
        <w:rPr>
          <w:rFonts w:ascii="Calibri" w:eastAsia="Calibri" w:hAnsi="Calibri"/>
          <w:color w:val="auto"/>
          <w:sz w:val="22"/>
          <w:szCs w:val="22"/>
          <w:lang w:val="en-US" w:eastAsia="en-US"/>
        </w:rPr>
        <w:t xml:space="preserve"> </w:t>
      </w:r>
      <w:r w:rsidRPr="007943A0">
        <w:rPr>
          <w:rFonts w:eastAsia="Calibri"/>
          <w:color w:val="000000"/>
          <w:szCs w:val="22"/>
          <w:lang w:eastAsia="en-US"/>
        </w:rPr>
        <w:t>Ravindernath ve Reddy 2015). Benzer olarak çalışma</w:t>
      </w:r>
      <w:r w:rsidR="004A617F">
        <w:rPr>
          <w:rFonts w:eastAsia="Calibri"/>
          <w:color w:val="000000"/>
          <w:szCs w:val="22"/>
          <w:lang w:eastAsia="en-US"/>
        </w:rPr>
        <w:t>mız</w:t>
      </w:r>
      <w:r w:rsidRPr="007943A0">
        <w:rPr>
          <w:rFonts w:eastAsia="Calibri"/>
          <w:color w:val="000000"/>
          <w:szCs w:val="22"/>
          <w:lang w:eastAsia="en-US"/>
        </w:rPr>
        <w:t xml:space="preserve"> kapsamındada aynı türlerde yüksek antibakteriyel etki gözlemlenmiştir.</w:t>
      </w:r>
    </w:p>
    <w:p w14:paraId="1CB13BEA" w14:textId="4474615B" w:rsidR="007943A0" w:rsidRPr="007943A0" w:rsidRDefault="007943A0" w:rsidP="008F2DA3">
      <w:pPr>
        <w:widowControl w:val="0"/>
        <w:autoSpaceDE w:val="0"/>
        <w:autoSpaceDN w:val="0"/>
        <w:adjustRightInd w:val="0"/>
        <w:spacing w:after="0" w:line="360" w:lineRule="auto"/>
        <w:ind w:firstLine="567"/>
        <w:jc w:val="both"/>
        <w:rPr>
          <w:rFonts w:eastAsia="Times New Roman"/>
          <w:color w:val="212121"/>
          <w:highlight w:val="yellow"/>
        </w:rPr>
      </w:pPr>
      <w:r w:rsidRPr="007943A0">
        <w:rPr>
          <w:rFonts w:eastAsia="Calibri"/>
          <w:color w:val="auto"/>
          <w:lang w:val="en-US" w:eastAsia="en-US"/>
        </w:rPr>
        <w:t>Ayrıca</w:t>
      </w:r>
      <w:r w:rsidR="004A617F">
        <w:rPr>
          <w:rFonts w:eastAsia="Calibri"/>
          <w:color w:val="auto"/>
          <w:lang w:val="en-US" w:eastAsia="en-US"/>
        </w:rPr>
        <w:t xml:space="preserve"> yukarıda</w:t>
      </w:r>
      <w:r w:rsidRPr="007943A0">
        <w:rPr>
          <w:rFonts w:eastAsia="Calibri"/>
          <w:color w:val="auto"/>
          <w:lang w:val="en-US" w:eastAsia="en-US"/>
        </w:rPr>
        <w:t xml:space="preserve"> </w:t>
      </w:r>
      <w:r w:rsidR="004A617F">
        <w:rPr>
          <w:rFonts w:eastAsia="Calibri"/>
          <w:color w:val="auto"/>
          <w:lang w:val="en-US" w:eastAsia="en-US"/>
        </w:rPr>
        <w:t xml:space="preserve">verilen </w:t>
      </w:r>
      <w:r w:rsidRPr="007943A0">
        <w:rPr>
          <w:rFonts w:eastAsia="Calibri"/>
          <w:color w:val="auto"/>
          <w:lang w:val="en-US" w:eastAsia="en-US"/>
        </w:rPr>
        <w:t xml:space="preserve">çalışmalarda fenil halkasında hidroksi, metil ve nitro ikameleri içeren piperidin türevlerinin varlığının test edilen bakteri türlerine karşı en yüksek antibakteriyel aktiviteyi sergilemesinin nedeni olarak söylenilebileceği </w:t>
      </w:r>
      <w:r w:rsidR="004A617F">
        <w:rPr>
          <w:rFonts w:eastAsia="Calibri"/>
          <w:color w:val="auto"/>
          <w:lang w:val="en-US" w:eastAsia="en-US"/>
        </w:rPr>
        <w:t xml:space="preserve">ve </w:t>
      </w:r>
      <w:r w:rsidRPr="007943A0">
        <w:rPr>
          <w:rFonts w:eastAsia="Calibri"/>
          <w:color w:val="auto"/>
          <w:lang w:val="en-US" w:eastAsia="en-US"/>
        </w:rPr>
        <w:t>piperidin halkası üzerinde hem elektron veren hem de elektron çeken grupların antibakteriyel aktiviteyi arttırdığı bildirilmiştir</w:t>
      </w:r>
      <w:r w:rsidRPr="007943A0">
        <w:rPr>
          <w:rFonts w:ascii="Calibri" w:eastAsia="Calibri" w:hAnsi="Calibri"/>
          <w:color w:val="auto"/>
          <w:sz w:val="22"/>
          <w:szCs w:val="22"/>
          <w:lang w:val="en-US" w:eastAsia="en-US"/>
        </w:rPr>
        <w:t xml:space="preserve">. </w:t>
      </w:r>
      <w:r w:rsidRPr="007943A0">
        <w:rPr>
          <w:rFonts w:eastAsia="Calibri"/>
          <w:color w:val="auto"/>
          <w:lang w:val="en-US" w:eastAsia="en-US"/>
        </w:rPr>
        <w:t>(Ravindernath ve Reddy 2013; Naicker vd.2015). Piperidin türevi indirgenme ürünleri sentezlenmiş başka bir antimikrobiyal aktivite çalışmasında ise; en iyi aktiviteyi sırasıyla alkil bileşikleri, metil sübstitüe, metoksi sübstitüe ve amino sübstitüe bileşiklerin gösterdiği belirlenmiştir. Tamamen indirgenmiş bileşiklerin, piperidin halkası ve aromatik halka fonksiyonel gruplarını içeren bileşiklerin daha yüksek antimikrobiyal etkinliğe sahip oldukları bildirilmiştir (İskender Yılmaz, 2012). Çalışma</w:t>
      </w:r>
      <w:r w:rsidR="00C970E3">
        <w:rPr>
          <w:rFonts w:eastAsia="Calibri"/>
          <w:color w:val="auto"/>
          <w:lang w:val="en-US" w:eastAsia="en-US"/>
        </w:rPr>
        <w:t>mız</w:t>
      </w:r>
      <w:r w:rsidRPr="007943A0">
        <w:rPr>
          <w:rFonts w:eastAsia="Calibri"/>
          <w:color w:val="auto"/>
          <w:lang w:val="en-US" w:eastAsia="en-US"/>
        </w:rPr>
        <w:t xml:space="preserve"> </w:t>
      </w:r>
      <w:r w:rsidR="00C970E3">
        <w:rPr>
          <w:rFonts w:eastAsia="Calibri"/>
          <w:color w:val="auto"/>
          <w:lang w:val="en-US" w:eastAsia="en-US"/>
        </w:rPr>
        <w:t>kapsamında kullanılan maddelerin</w:t>
      </w:r>
      <w:r w:rsidRPr="007943A0">
        <w:rPr>
          <w:rFonts w:eastAsia="Calibri"/>
          <w:color w:val="auto"/>
          <w:lang w:val="en-US" w:eastAsia="en-US"/>
        </w:rPr>
        <w:t>; piperidin halkasının para pozisyonuna bağlı olan hidroksil, para ve orto pozisyonuna bağlı olan fenil halkalarının ayrıca piperidin halkasının N atomuna bağlı olan alkil gruplarının bu görüşleri destekleyici olarak görev yaptıkları düşünülmektedir.</w:t>
      </w:r>
    </w:p>
    <w:p w14:paraId="56543AE7" w14:textId="77777777" w:rsidR="007943A0" w:rsidRPr="007943A0" w:rsidRDefault="007943A0" w:rsidP="007943A0">
      <w:pPr>
        <w:widowControl w:val="0"/>
        <w:spacing w:before="120" w:after="120" w:line="360" w:lineRule="auto"/>
        <w:ind w:firstLine="709"/>
        <w:jc w:val="both"/>
        <w:rPr>
          <w:rFonts w:eastAsia="Times New Roman"/>
          <w:color w:val="auto"/>
          <w:sz w:val="17"/>
          <w:szCs w:val="17"/>
          <w:lang w:val="en-US" w:eastAsia="en-US"/>
        </w:rPr>
      </w:pPr>
    </w:p>
    <w:p w14:paraId="786480EA" w14:textId="77777777" w:rsidR="007943A0" w:rsidRPr="007943A0" w:rsidRDefault="007943A0" w:rsidP="007943A0">
      <w:pPr>
        <w:widowControl w:val="0"/>
        <w:spacing w:after="0" w:line="200" w:lineRule="atLeast"/>
        <w:rPr>
          <w:rFonts w:eastAsia="Times New Roman"/>
          <w:color w:val="auto"/>
          <w:sz w:val="17"/>
          <w:szCs w:val="17"/>
          <w:lang w:val="en-US" w:eastAsia="en-US"/>
        </w:rPr>
        <w:sectPr w:rsidR="007943A0" w:rsidRPr="007943A0" w:rsidSect="007943A0">
          <w:pgSz w:w="11910" w:h="16840"/>
          <w:pgMar w:top="1701" w:right="1418" w:bottom="1418" w:left="1701" w:header="0" w:footer="567" w:gutter="0"/>
          <w:cols w:space="708"/>
          <w:titlePg/>
          <w:docGrid w:linePitch="299"/>
        </w:sectPr>
      </w:pPr>
    </w:p>
    <w:p w14:paraId="52079EC6" w14:textId="77777777" w:rsidR="00EA7AE9" w:rsidRDefault="00EA7AE9" w:rsidP="00EA7AE9">
      <w:pPr>
        <w:pStyle w:val="balk10"/>
        <w:spacing w:before="0" w:after="0"/>
        <w:rPr>
          <w:rFonts w:eastAsia="Times New Roman"/>
          <w:lang w:val="en-US" w:eastAsia="en-US"/>
        </w:rPr>
      </w:pPr>
      <w:bookmarkStart w:id="104" w:name="_Toc64567887"/>
    </w:p>
    <w:p w14:paraId="19D43166" w14:textId="7C77E853" w:rsidR="000524E6" w:rsidRDefault="007943A0" w:rsidP="001977AF">
      <w:pPr>
        <w:pStyle w:val="balk10"/>
        <w:spacing w:before="0" w:after="0" w:line="240" w:lineRule="auto"/>
        <w:rPr>
          <w:rFonts w:eastAsia="Times New Roman"/>
          <w:lang w:val="en-US" w:eastAsia="en-US"/>
        </w:rPr>
      </w:pPr>
      <w:r w:rsidRPr="007943A0">
        <w:rPr>
          <w:rFonts w:eastAsia="Times New Roman"/>
          <w:lang w:val="en-US" w:eastAsia="en-US"/>
        </w:rPr>
        <w:t>5. SONUÇ VE ÖNERİLER</w:t>
      </w:r>
      <w:bookmarkEnd w:id="104"/>
    </w:p>
    <w:p w14:paraId="5F65CDC2" w14:textId="77777777" w:rsidR="001977AF" w:rsidRPr="007943A0" w:rsidRDefault="001977AF" w:rsidP="001977AF">
      <w:pPr>
        <w:pStyle w:val="balk10"/>
        <w:spacing w:before="0" w:after="0"/>
        <w:rPr>
          <w:rFonts w:eastAsia="Times New Roman"/>
          <w:lang w:val="en-US" w:eastAsia="en-US"/>
        </w:rPr>
      </w:pPr>
    </w:p>
    <w:p w14:paraId="53C22118" w14:textId="6AF46C94" w:rsidR="007943A0" w:rsidRPr="007943A0" w:rsidRDefault="007943A0" w:rsidP="008F2DA3">
      <w:pPr>
        <w:widowControl w:val="0"/>
        <w:spacing w:after="0" w:line="360" w:lineRule="auto"/>
        <w:ind w:firstLine="567"/>
        <w:jc w:val="both"/>
        <w:rPr>
          <w:rFonts w:eastAsia="Calibri"/>
          <w:color w:val="auto"/>
          <w:lang w:val="en-US" w:eastAsia="en-US"/>
        </w:rPr>
        <w:sectPr w:rsidR="007943A0" w:rsidRPr="007943A0" w:rsidSect="007943A0">
          <w:pgSz w:w="11910" w:h="16840"/>
          <w:pgMar w:top="1701" w:right="1418" w:bottom="1418" w:left="1701" w:header="0" w:footer="567" w:gutter="0"/>
          <w:cols w:space="708"/>
          <w:titlePg/>
          <w:docGrid w:linePitch="299"/>
        </w:sectPr>
      </w:pPr>
      <w:r w:rsidRPr="007943A0">
        <w:rPr>
          <w:rFonts w:eastAsia="Times New Roman"/>
          <w:color w:val="212121"/>
        </w:rPr>
        <w:t>Çalışma kapsamında (1-metil-4-hidroksi-4-fenil piperidi</w:t>
      </w:r>
      <w:r w:rsidR="00C970E3">
        <w:rPr>
          <w:rFonts w:eastAsia="Times New Roman"/>
          <w:color w:val="212121"/>
        </w:rPr>
        <w:t xml:space="preserve">n-3-il) (fenil) metanon ve </w:t>
      </w:r>
      <w:r w:rsidR="007D23D3">
        <w:rPr>
          <w:rFonts w:eastAsia="Times New Roman"/>
          <w:color w:val="212121"/>
        </w:rPr>
        <w:t>(1-</w:t>
      </w:r>
      <w:r w:rsidRPr="007943A0">
        <w:rPr>
          <w:rFonts w:eastAsia="Times New Roman"/>
          <w:color w:val="212121"/>
        </w:rPr>
        <w:t xml:space="preserve">etil-4-hidroksi-4-fenil piperidin-3-il) (fenil) metanon bileşiklerinin hem AChE ve BChE enzimlerini inhibe ettiği gözlemlenmiştir. Alzheimer hastalığı süreci enzimler açısından düşünüldüğünde, AChE aktivitesi giderek azalırken BChE aktivitesi arttığından ve sonrasında BChE enzimi ACh metabolizması için telafi edici bir mekanizma oluşturduğundan dolayı ACh düzenlemesi giderek BChE'ye bağımlı hale gelebilmektedir. Bu nedenle çalışmada kullanılan piperidin türevi iki maddeninde özellikle AChE enzimi üzerindeki inhibisyon etkilerinin çok daha yüksek olduğu ancak beraberinde BChE enziminide inhibe ettikleri durum göz önüne alındığında bu tip </w:t>
      </w:r>
      <w:r w:rsidRPr="007943A0">
        <w:rPr>
          <w:rFonts w:eastAsia="Calibri"/>
          <w:color w:val="auto"/>
          <w:lang w:val="en-US" w:eastAsia="en-US"/>
        </w:rPr>
        <w:t xml:space="preserve">ikili inhibitörlerin, AChE seçici inhibitörlerden daha uzun süreli etkinlik sağlayabileceği ve Alzheimer hastalığı açısından önemli olduğu düşünülmektedir. Aynı zamanda bu maddelerin güçlü antibakteriyel aktiviteye sahip olmaları dolayısıylada elde edilen sonuçların farmokolojide hızla artan antimikrobiyal direncin önlenmesinde de yardımcı birer etken olabileceği ve ilaç etken maddelerinin belirlenmesinde yol gösterici olabileceği düşünülmektedir. </w:t>
      </w:r>
    </w:p>
    <w:p w14:paraId="11A09FA4" w14:textId="77777777" w:rsidR="001977AF" w:rsidRDefault="001977AF" w:rsidP="00EA7AE9">
      <w:pPr>
        <w:pStyle w:val="balk10"/>
        <w:spacing w:before="0" w:after="0"/>
        <w:rPr>
          <w:rFonts w:eastAsia="Times New Roman"/>
          <w:lang w:val="en-US" w:eastAsia="en-US"/>
        </w:rPr>
      </w:pPr>
      <w:bookmarkStart w:id="105" w:name="_Toc64567888"/>
    </w:p>
    <w:p w14:paraId="597C8476" w14:textId="77777777" w:rsidR="007943A0" w:rsidRDefault="007943A0" w:rsidP="001977AF">
      <w:pPr>
        <w:pStyle w:val="balk10"/>
        <w:spacing w:before="0" w:after="0" w:line="240" w:lineRule="auto"/>
        <w:rPr>
          <w:rFonts w:eastAsia="Times New Roman"/>
          <w:lang w:val="en-US" w:eastAsia="en-US"/>
        </w:rPr>
      </w:pPr>
      <w:r w:rsidRPr="007943A0">
        <w:rPr>
          <w:rFonts w:eastAsia="Times New Roman"/>
          <w:lang w:val="en-US" w:eastAsia="en-US"/>
        </w:rPr>
        <w:t>6. KAYNAKLAR</w:t>
      </w:r>
      <w:bookmarkEnd w:id="105"/>
    </w:p>
    <w:p w14:paraId="7C986885" w14:textId="77777777" w:rsidR="001977AF" w:rsidRPr="007943A0" w:rsidRDefault="001977AF" w:rsidP="001977AF">
      <w:pPr>
        <w:pStyle w:val="balk10"/>
        <w:spacing w:before="0" w:after="0"/>
        <w:rPr>
          <w:rFonts w:eastAsia="Times New Roman"/>
          <w:lang w:val="en-US" w:eastAsia="en-US"/>
        </w:rPr>
      </w:pPr>
    </w:p>
    <w:p w14:paraId="18F28E8B" w14:textId="38517FEB" w:rsidR="007943A0" w:rsidRDefault="007943A0" w:rsidP="008F2DA3">
      <w:pPr>
        <w:autoSpaceDE w:val="0"/>
        <w:autoSpaceDN w:val="0"/>
        <w:adjustRightInd w:val="0"/>
        <w:spacing w:after="0" w:line="240" w:lineRule="auto"/>
        <w:ind w:left="1096" w:hanging="1096"/>
        <w:jc w:val="both"/>
        <w:rPr>
          <w:rFonts w:eastAsia="Times-Roman"/>
          <w:color w:val="auto"/>
        </w:rPr>
      </w:pPr>
      <w:r w:rsidRPr="007943A0">
        <w:rPr>
          <w:rFonts w:eastAsia="Times-Roman"/>
          <w:color w:val="auto"/>
        </w:rPr>
        <w:t>Akıncı</w:t>
      </w:r>
      <w:r w:rsidR="00B53B36">
        <w:rPr>
          <w:rFonts w:eastAsia="Times-Roman"/>
          <w:color w:val="auto"/>
        </w:rPr>
        <w:t>oglu, A., Topal, M., Gulcin, I.</w:t>
      </w:r>
      <w:r w:rsidRPr="007943A0">
        <w:rPr>
          <w:rFonts w:eastAsia="Times-Roman"/>
          <w:color w:val="auto"/>
        </w:rPr>
        <w:t xml:space="preserve"> ve Goksu, S., 2014. Novel sulphamides and sulphonamides incorporating the  tetralin scaffold as carbonic anhydrase and acetylcholine esterase inhibitors, </w:t>
      </w:r>
      <w:r w:rsidRPr="007943A0">
        <w:rPr>
          <w:rFonts w:eastAsia="Times-Roman"/>
          <w:color w:val="auto"/>
          <w:u w:val="single"/>
        </w:rPr>
        <w:t>Archiv der Pharmazie</w:t>
      </w:r>
      <w:r w:rsidRPr="007943A0">
        <w:rPr>
          <w:rFonts w:eastAsia="Times-Roman"/>
          <w:color w:val="auto"/>
        </w:rPr>
        <w:t>, 347, 68-76.</w:t>
      </w:r>
    </w:p>
    <w:p w14:paraId="4B441990" w14:textId="77777777" w:rsidR="0086087B" w:rsidRPr="007943A0" w:rsidRDefault="0086087B" w:rsidP="008F2DA3">
      <w:pPr>
        <w:autoSpaceDE w:val="0"/>
        <w:autoSpaceDN w:val="0"/>
        <w:adjustRightInd w:val="0"/>
        <w:spacing w:after="0" w:line="240" w:lineRule="auto"/>
        <w:ind w:left="1096" w:hanging="1096"/>
        <w:jc w:val="both"/>
        <w:rPr>
          <w:rFonts w:eastAsia="Times-Roman"/>
          <w:color w:val="auto"/>
        </w:rPr>
      </w:pPr>
    </w:p>
    <w:p w14:paraId="2C531EA6" w14:textId="72ACD455" w:rsidR="007943A0" w:rsidRDefault="007943A0" w:rsidP="008F2DA3">
      <w:pPr>
        <w:autoSpaceDE w:val="0"/>
        <w:autoSpaceDN w:val="0"/>
        <w:adjustRightInd w:val="0"/>
        <w:spacing w:after="0" w:line="240" w:lineRule="auto"/>
        <w:ind w:left="1096" w:hanging="1096"/>
        <w:jc w:val="both"/>
        <w:rPr>
          <w:rFonts w:eastAsia="Times-Roman"/>
          <w:color w:val="auto"/>
        </w:rPr>
      </w:pPr>
      <w:r w:rsidRPr="007943A0">
        <w:rPr>
          <w:rFonts w:eastAsia="Times-Roman"/>
          <w:color w:val="auto"/>
        </w:rPr>
        <w:t>Alcantara, V.M., Chautard-Freire-Maia, E.A., Scartezini, M</w:t>
      </w:r>
      <w:r w:rsidR="00B53B36">
        <w:rPr>
          <w:rFonts w:eastAsia="Times-Roman"/>
          <w:color w:val="auto"/>
        </w:rPr>
        <w:t>., Cerci, M.S., Braun-Prado, K. ve</w:t>
      </w:r>
      <w:r w:rsidRPr="007943A0">
        <w:rPr>
          <w:rFonts w:eastAsia="Times-Roman"/>
          <w:color w:val="auto"/>
        </w:rPr>
        <w:t xml:space="preserve"> Picheth, G., 2002. Butyrylcholinesterase activity and risk factors for coronary artery disease, </w:t>
      </w:r>
      <w:r w:rsidRPr="007943A0">
        <w:rPr>
          <w:rFonts w:eastAsia="Times-Roman"/>
          <w:color w:val="auto"/>
          <w:u w:val="single"/>
        </w:rPr>
        <w:t>Scandinavian Journal of Clinical and Laboratory Investigation</w:t>
      </w:r>
      <w:r w:rsidRPr="007943A0">
        <w:rPr>
          <w:rFonts w:eastAsia="Times-Roman"/>
          <w:color w:val="auto"/>
        </w:rPr>
        <w:t>, 62, 399-404.</w:t>
      </w:r>
    </w:p>
    <w:p w14:paraId="0E959596" w14:textId="77777777" w:rsidR="0086087B" w:rsidRPr="007943A0" w:rsidRDefault="0086087B" w:rsidP="008F2DA3">
      <w:pPr>
        <w:autoSpaceDE w:val="0"/>
        <w:autoSpaceDN w:val="0"/>
        <w:adjustRightInd w:val="0"/>
        <w:spacing w:after="0" w:line="240" w:lineRule="auto"/>
        <w:ind w:left="1096" w:hanging="1096"/>
        <w:jc w:val="both"/>
        <w:rPr>
          <w:rFonts w:eastAsia="Times-Roman"/>
          <w:color w:val="auto"/>
        </w:rPr>
      </w:pPr>
    </w:p>
    <w:p w14:paraId="0BCB89F8" w14:textId="6B5AAAFA" w:rsidR="007943A0" w:rsidRDefault="007943A0" w:rsidP="008F2DA3">
      <w:pPr>
        <w:autoSpaceDE w:val="0"/>
        <w:autoSpaceDN w:val="0"/>
        <w:adjustRightInd w:val="0"/>
        <w:spacing w:after="0" w:line="240" w:lineRule="auto"/>
        <w:ind w:left="1096" w:hanging="1096"/>
        <w:jc w:val="both"/>
        <w:rPr>
          <w:rFonts w:eastAsia="Times-Roman"/>
          <w:color w:val="auto"/>
        </w:rPr>
      </w:pPr>
      <w:r w:rsidRPr="007943A0">
        <w:rPr>
          <w:rFonts w:eastAsia="Times-Roman"/>
          <w:color w:val="auto"/>
        </w:rPr>
        <w:t>Altıntop, M.D., Gurkan Alp, A.S., Özkay, Y</w:t>
      </w:r>
      <w:r w:rsidR="00B53B36">
        <w:rPr>
          <w:rFonts w:eastAsia="Times-Roman"/>
          <w:color w:val="auto"/>
        </w:rPr>
        <w:t>.</w:t>
      </w:r>
      <w:r w:rsidRPr="007943A0">
        <w:rPr>
          <w:rFonts w:eastAsia="Times-Roman"/>
          <w:color w:val="auto"/>
        </w:rPr>
        <w:t xml:space="preserve"> ve  Kaplancıklı, Z.A., 2013.  Synthesis and Biological Evaluation of a Series of Dithiocarbamates as New Cholinesterase Inhibitors, </w:t>
      </w:r>
      <w:r w:rsidRPr="007943A0">
        <w:rPr>
          <w:rFonts w:eastAsia="Times-Roman"/>
          <w:color w:val="auto"/>
          <w:u w:val="single"/>
        </w:rPr>
        <w:t xml:space="preserve">Archiv der Pharmazie </w:t>
      </w:r>
      <w:r w:rsidRPr="007943A0">
        <w:rPr>
          <w:rFonts w:eastAsia="Times-Roman"/>
          <w:color w:val="auto"/>
        </w:rPr>
        <w:t>, 346, 571–576.</w:t>
      </w:r>
    </w:p>
    <w:p w14:paraId="1B986107" w14:textId="77777777" w:rsidR="0086087B" w:rsidRPr="007943A0" w:rsidRDefault="0086087B" w:rsidP="008F2DA3">
      <w:pPr>
        <w:autoSpaceDE w:val="0"/>
        <w:autoSpaceDN w:val="0"/>
        <w:adjustRightInd w:val="0"/>
        <w:spacing w:after="0" w:line="240" w:lineRule="auto"/>
        <w:ind w:left="1096" w:hanging="1096"/>
        <w:jc w:val="both"/>
        <w:rPr>
          <w:rFonts w:eastAsia="Times-Roman"/>
          <w:color w:val="auto"/>
        </w:rPr>
      </w:pPr>
    </w:p>
    <w:p w14:paraId="1A78A365" w14:textId="0CE75841" w:rsidR="007943A0" w:rsidRDefault="007943A0" w:rsidP="008F2DA3">
      <w:pPr>
        <w:autoSpaceDE w:val="0"/>
        <w:autoSpaceDN w:val="0"/>
        <w:adjustRightInd w:val="0"/>
        <w:spacing w:after="0" w:line="240" w:lineRule="auto"/>
        <w:ind w:left="1096" w:hanging="1096"/>
        <w:jc w:val="both"/>
        <w:rPr>
          <w:rFonts w:eastAsia="Times-Roman"/>
          <w:color w:val="auto"/>
        </w:rPr>
      </w:pPr>
      <w:r w:rsidRPr="007943A0">
        <w:rPr>
          <w:rFonts w:eastAsia="Times-Roman"/>
          <w:color w:val="auto"/>
        </w:rPr>
        <w:t>Aridoss, G., Amirthaganesan,S., Kumar, N.A., Kim, J.T., Li</w:t>
      </w:r>
      <w:r w:rsidR="00B53B36">
        <w:rPr>
          <w:rFonts w:eastAsia="Times-Roman"/>
          <w:color w:val="auto"/>
        </w:rPr>
        <w:t xml:space="preserve">m, K.T., Senthamaraikannan, K. ve </w:t>
      </w:r>
      <w:r w:rsidRPr="007943A0">
        <w:rPr>
          <w:rFonts w:eastAsia="Times-Roman"/>
          <w:color w:val="auto"/>
        </w:rPr>
        <w:t xml:space="preserve">Jeong, Y.T., 2008. A facile synthesis, antibacterial, and antitubercular studies of some piperidin-4-one and tetrahydropyridine derivatives. </w:t>
      </w:r>
      <w:r w:rsidRPr="007943A0">
        <w:rPr>
          <w:rFonts w:eastAsia="Times-Roman"/>
          <w:color w:val="auto"/>
          <w:u w:val="single"/>
        </w:rPr>
        <w:t>Bioorganic &amp; Medicinal Chemistry Letters</w:t>
      </w:r>
      <w:r w:rsidRPr="007943A0">
        <w:rPr>
          <w:rFonts w:eastAsia="Times-Roman"/>
          <w:color w:val="auto"/>
        </w:rPr>
        <w:t xml:space="preserve"> 18, 6542–6548.</w:t>
      </w:r>
    </w:p>
    <w:p w14:paraId="3FCF1299" w14:textId="77777777" w:rsidR="0086087B" w:rsidRPr="007943A0" w:rsidRDefault="0086087B" w:rsidP="008F2DA3">
      <w:pPr>
        <w:autoSpaceDE w:val="0"/>
        <w:autoSpaceDN w:val="0"/>
        <w:adjustRightInd w:val="0"/>
        <w:spacing w:after="0" w:line="240" w:lineRule="auto"/>
        <w:ind w:left="1096" w:hanging="1096"/>
        <w:jc w:val="both"/>
        <w:rPr>
          <w:rFonts w:eastAsia="Times-Roman"/>
          <w:color w:val="auto"/>
        </w:rPr>
      </w:pPr>
    </w:p>
    <w:p w14:paraId="21212B4A" w14:textId="77777777" w:rsidR="007943A0" w:rsidRDefault="007943A0" w:rsidP="008F2DA3">
      <w:pPr>
        <w:autoSpaceDE w:val="0"/>
        <w:autoSpaceDN w:val="0"/>
        <w:adjustRightInd w:val="0"/>
        <w:spacing w:after="0" w:line="240" w:lineRule="auto"/>
        <w:ind w:left="1096" w:hanging="1096"/>
        <w:jc w:val="both"/>
        <w:rPr>
          <w:rFonts w:eastAsia="Times-Roman"/>
          <w:color w:val="auto"/>
        </w:rPr>
      </w:pPr>
      <w:r w:rsidRPr="007943A0">
        <w:rPr>
          <w:rFonts w:eastAsia="Times-Roman"/>
          <w:color w:val="auto"/>
        </w:rPr>
        <w:t>Ayaz, A., 2008. Sideritis Hololeuca Boiss.&amp;Heldr. Apud Bentham ve Sideritis Libanotica labill. Subsp. Violascens Ekstraktlarının Antibakteriyel Aktivitelerinin Belirlenmesi, Yüksek Lisans Tezi, Selçuk Üniversitesi Fen Bilimleri Enstitüsü. Konya, 70s.</w:t>
      </w:r>
    </w:p>
    <w:p w14:paraId="0609553F" w14:textId="77777777" w:rsidR="0086087B" w:rsidRPr="007943A0" w:rsidRDefault="0086087B" w:rsidP="008F2DA3">
      <w:pPr>
        <w:autoSpaceDE w:val="0"/>
        <w:autoSpaceDN w:val="0"/>
        <w:adjustRightInd w:val="0"/>
        <w:spacing w:after="0" w:line="240" w:lineRule="auto"/>
        <w:ind w:left="1096" w:hanging="1096"/>
        <w:jc w:val="both"/>
        <w:rPr>
          <w:rFonts w:eastAsia="Times-Roman"/>
          <w:color w:val="auto"/>
        </w:rPr>
      </w:pPr>
    </w:p>
    <w:p w14:paraId="1086884F"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Barta, C., Sasvari-Szekely, M., Devai, A., Kovacs, E., Staub, M. ve Enyedi, P., 2001. Analysis of mutations in the plasma cholinesterase gene of patients with a history of prolonged neuromuscular block during anesthesia, </w:t>
      </w:r>
      <w:r w:rsidRPr="007943A0">
        <w:rPr>
          <w:rFonts w:eastAsia="Times New Roman"/>
          <w:color w:val="auto"/>
          <w:u w:val="single"/>
        </w:rPr>
        <w:t xml:space="preserve">Molecular Genetics and Metabolism, </w:t>
      </w:r>
      <w:r w:rsidRPr="007943A0">
        <w:rPr>
          <w:rFonts w:eastAsia="Times New Roman"/>
          <w:color w:val="auto"/>
        </w:rPr>
        <w:t>74, 484-488.</w:t>
      </w:r>
    </w:p>
    <w:p w14:paraId="2F180750"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1427EAAF"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Bodur, E. ve Çokuğraş A.N., 2006.  Benzoyilkolin, İndol-3 Asetik Asit ve İnsan Serum Bütirilkolinesterazı Etkileşimleri, </w:t>
      </w:r>
      <w:r w:rsidRPr="007943A0">
        <w:rPr>
          <w:rFonts w:eastAsia="Times New Roman"/>
          <w:color w:val="auto"/>
          <w:u w:val="single"/>
        </w:rPr>
        <w:t>Türk Biyokimya Dergisi</w:t>
      </w:r>
      <w:r w:rsidRPr="007943A0">
        <w:rPr>
          <w:rFonts w:eastAsia="Times New Roman"/>
          <w:color w:val="auto"/>
        </w:rPr>
        <w:t>, 31, 182-186.</w:t>
      </w:r>
    </w:p>
    <w:p w14:paraId="47DD4F18"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5A6306F3" w14:textId="26727FF3"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Chiou, S.Y., Huang, C.F., Hwang M.T. ve Lin G., 2009. Comparison Of Active Sites Of Butyrylcholinesterase and Acetylcholinesterase Based on İnhibition By Geometric İsomers of Benzene‐Di‐N‐Substituted Carbamates, Journal of </w:t>
      </w:r>
      <w:r w:rsidRPr="007943A0">
        <w:rPr>
          <w:rFonts w:eastAsia="Times New Roman"/>
          <w:color w:val="auto"/>
          <w:u w:val="single"/>
        </w:rPr>
        <w:t>Biochemical and Molecular Toxicology</w:t>
      </w:r>
      <w:r w:rsidR="0016702B">
        <w:rPr>
          <w:rFonts w:eastAsia="Times New Roman"/>
          <w:color w:val="auto"/>
        </w:rPr>
        <w:t>, 23,</w:t>
      </w:r>
      <w:r w:rsidRPr="007943A0">
        <w:rPr>
          <w:rFonts w:eastAsia="Times New Roman"/>
          <w:color w:val="auto"/>
        </w:rPr>
        <w:t>303–308.</w:t>
      </w:r>
    </w:p>
    <w:p w14:paraId="10302D0E"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240E8E24"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Chitranshi, N., Gupta, S., Tripathi, P.K. ve Seth P.K., 2013. New molecular scaffolds for the design of Alzheimer’s acetylcholinesterase inhibitors identified using ligand- and receptor-based virtual screening, </w:t>
      </w:r>
      <w:r w:rsidRPr="0016702B">
        <w:rPr>
          <w:rFonts w:eastAsia="Times New Roman"/>
          <w:color w:val="auto"/>
          <w:u w:val="single"/>
        </w:rPr>
        <w:t>Medicinal Chemistry Research</w:t>
      </w:r>
      <w:r w:rsidRPr="007943A0">
        <w:rPr>
          <w:rFonts w:eastAsia="Times New Roman"/>
          <w:color w:val="auto"/>
        </w:rPr>
        <w:t>, 22, 52328–2345.</w:t>
      </w:r>
    </w:p>
    <w:p w14:paraId="233D23B1"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5D6FCA33" w14:textId="77777777" w:rsidR="007943A0" w:rsidRDefault="007943A0" w:rsidP="008F2DA3">
      <w:pPr>
        <w:autoSpaceDE w:val="0"/>
        <w:autoSpaceDN w:val="0"/>
        <w:adjustRightInd w:val="0"/>
        <w:spacing w:after="0" w:line="240" w:lineRule="auto"/>
        <w:ind w:left="1096" w:hanging="1096"/>
        <w:jc w:val="both"/>
        <w:rPr>
          <w:rFonts w:ascii="Calibri" w:eastAsia="Calibri" w:hAnsi="Calibri"/>
          <w:color w:val="auto"/>
          <w:sz w:val="22"/>
          <w:szCs w:val="22"/>
          <w:lang w:val="en-US" w:eastAsia="en-US"/>
        </w:rPr>
      </w:pPr>
      <w:r w:rsidRPr="007943A0">
        <w:rPr>
          <w:rFonts w:eastAsia="Times New Roman"/>
          <w:color w:val="auto"/>
        </w:rPr>
        <w:t xml:space="preserve">Colovic, M.B., Krstic, D.Z., Lazarevic, P., Tamara, D., Bondzic, A.M. ve Vasic, V.M. 2013. AcetylcholinesteraseInhibitors: Pharmacology and Toxicology, Engeland, </w:t>
      </w:r>
      <w:r w:rsidRPr="007943A0">
        <w:rPr>
          <w:rFonts w:eastAsia="Times New Roman"/>
          <w:color w:val="auto"/>
          <w:u w:val="single"/>
        </w:rPr>
        <w:t>Current Neuropharmacology</w:t>
      </w:r>
      <w:r w:rsidRPr="007943A0">
        <w:rPr>
          <w:rFonts w:eastAsia="Times New Roman"/>
          <w:color w:val="auto"/>
        </w:rPr>
        <w:t>, 11, 315–335.</w:t>
      </w:r>
      <w:r w:rsidRPr="007943A0">
        <w:rPr>
          <w:rFonts w:ascii="Calibri" w:eastAsia="Calibri" w:hAnsi="Calibri"/>
          <w:color w:val="auto"/>
          <w:sz w:val="22"/>
          <w:szCs w:val="22"/>
          <w:lang w:val="en-US" w:eastAsia="en-US"/>
        </w:rPr>
        <w:t xml:space="preserve"> </w:t>
      </w:r>
    </w:p>
    <w:p w14:paraId="7B8EFA37" w14:textId="77777777" w:rsidR="0086087B" w:rsidRPr="007943A0" w:rsidRDefault="0086087B" w:rsidP="008F2DA3">
      <w:pPr>
        <w:autoSpaceDE w:val="0"/>
        <w:autoSpaceDN w:val="0"/>
        <w:adjustRightInd w:val="0"/>
        <w:spacing w:after="0" w:line="240" w:lineRule="auto"/>
        <w:ind w:left="1096" w:hanging="1096"/>
        <w:jc w:val="both"/>
        <w:rPr>
          <w:rFonts w:ascii="Calibri" w:eastAsia="Calibri" w:hAnsi="Calibri"/>
          <w:color w:val="auto"/>
          <w:sz w:val="22"/>
          <w:szCs w:val="22"/>
          <w:lang w:val="en-US" w:eastAsia="en-US"/>
        </w:rPr>
      </w:pPr>
    </w:p>
    <w:p w14:paraId="24ACFF8A" w14:textId="1A9D1CA2"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lastRenderedPageBreak/>
        <w:t>Çakıroğlu, G., 2009. Asetilkolinesteraz İnhibitörleri Olarak BazıPiridin Türevleri Üzerinde Sentez Ve Biyoaktivite Çalişmaları., Sağlık Biliml</w:t>
      </w:r>
      <w:r w:rsidR="0016702B">
        <w:rPr>
          <w:rFonts w:eastAsia="Times New Roman"/>
          <w:color w:val="auto"/>
        </w:rPr>
        <w:t>eri Enstitüsü, Ege Üniversitesi,</w:t>
      </w:r>
      <w:r w:rsidRPr="007943A0">
        <w:rPr>
          <w:rFonts w:eastAsia="Times New Roman"/>
          <w:color w:val="auto"/>
        </w:rPr>
        <w:t xml:space="preserve"> İzmir, 227 s.</w:t>
      </w:r>
    </w:p>
    <w:p w14:paraId="372203AC"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1BD41206"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Çırdaklı, D., 2018. Bazı N-(4-Sübstitüebenziliden)-5-Fenil-1,3,4-Tiyadiazol-2-Amin Türevleri Üzerinde Çalışmalar , Yüksek Lisans Tezi, Hacettepe Üniversitesi, Sağlık Bilimleri Enstitüsü. Ankara, 102s.</w:t>
      </w:r>
    </w:p>
    <w:p w14:paraId="2EF3A258"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31C42F32" w14:textId="5C7D76B6" w:rsidR="007943A0" w:rsidRDefault="0016702B" w:rsidP="008F2DA3">
      <w:pPr>
        <w:autoSpaceDE w:val="0"/>
        <w:autoSpaceDN w:val="0"/>
        <w:adjustRightInd w:val="0"/>
        <w:spacing w:after="0" w:line="240" w:lineRule="auto"/>
        <w:ind w:left="1096" w:hanging="1096"/>
        <w:jc w:val="both"/>
        <w:rPr>
          <w:rFonts w:eastAsia="Times New Roman"/>
          <w:color w:val="auto"/>
        </w:rPr>
      </w:pPr>
      <w:r>
        <w:rPr>
          <w:rFonts w:eastAsia="Times New Roman"/>
          <w:color w:val="auto"/>
        </w:rPr>
        <w:t xml:space="preserve">Dang, </w:t>
      </w:r>
      <w:r w:rsidR="00B53B36">
        <w:rPr>
          <w:rFonts w:eastAsia="Times New Roman"/>
          <w:color w:val="auto"/>
        </w:rPr>
        <w:t>Z., Yang, Y., Jia R. ve</w:t>
      </w:r>
      <w:r w:rsidR="007943A0" w:rsidRPr="007943A0">
        <w:rPr>
          <w:rFonts w:eastAsia="Times New Roman"/>
          <w:color w:val="auto"/>
        </w:rPr>
        <w:t xml:space="preserve"> Zhangb, S., 2007. Synthesis and antibacterial activity of novel fluoroquinolones containing substituted piperidines. </w:t>
      </w:r>
      <w:r w:rsidR="007943A0" w:rsidRPr="007943A0">
        <w:rPr>
          <w:rFonts w:eastAsia="Times New Roman"/>
          <w:color w:val="auto"/>
          <w:u w:val="single"/>
        </w:rPr>
        <w:t>Bioorganic &amp; Medicinal Chemistry Letters</w:t>
      </w:r>
      <w:r w:rsidR="007943A0" w:rsidRPr="007943A0">
        <w:rPr>
          <w:rFonts w:eastAsia="Times New Roman"/>
          <w:color w:val="auto"/>
        </w:rPr>
        <w:t xml:space="preserve"> 17, 4523–4526.</w:t>
      </w:r>
    </w:p>
    <w:p w14:paraId="53A7E109"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4E5361C9" w14:textId="54400E84"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Das</w:t>
      </w:r>
      <w:r w:rsidR="0016702B">
        <w:rPr>
          <w:rFonts w:eastAsia="Times New Roman"/>
          <w:color w:val="auto"/>
        </w:rPr>
        <w:t>,</w:t>
      </w:r>
      <w:r w:rsidRPr="007943A0">
        <w:rPr>
          <w:rFonts w:eastAsia="Times New Roman"/>
          <w:color w:val="auto"/>
        </w:rPr>
        <w:t xml:space="preserve"> U.N., 2012. Acetylcholinesterase and butyrylcholinesterase as markers of low-grade systemic inflammation, </w:t>
      </w:r>
      <w:r w:rsidRPr="007943A0">
        <w:rPr>
          <w:rFonts w:eastAsia="Times New Roman"/>
          <w:color w:val="auto"/>
          <w:u w:val="single"/>
        </w:rPr>
        <w:t xml:space="preserve">Annals of hepatology, </w:t>
      </w:r>
      <w:r w:rsidRPr="007943A0">
        <w:rPr>
          <w:rFonts w:eastAsia="Times New Roman"/>
          <w:color w:val="auto"/>
        </w:rPr>
        <w:t>11, 409-411.</w:t>
      </w:r>
    </w:p>
    <w:p w14:paraId="6A70F2A7"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6FDB46F1" w14:textId="1FA4D633" w:rsidR="007943A0" w:rsidRDefault="0016702B" w:rsidP="008F2DA3">
      <w:pPr>
        <w:autoSpaceDE w:val="0"/>
        <w:autoSpaceDN w:val="0"/>
        <w:adjustRightInd w:val="0"/>
        <w:spacing w:after="0" w:line="240" w:lineRule="auto"/>
        <w:ind w:left="1096" w:hanging="1096"/>
        <w:jc w:val="both"/>
        <w:rPr>
          <w:rFonts w:eastAsia="Times New Roman"/>
          <w:color w:val="auto"/>
        </w:rPr>
      </w:pPr>
      <w:r>
        <w:rPr>
          <w:rFonts w:eastAsia="Times New Roman"/>
          <w:color w:val="auto"/>
        </w:rPr>
        <w:t>Drtinova</w:t>
      </w:r>
      <w:r w:rsidR="007943A0" w:rsidRPr="007943A0">
        <w:rPr>
          <w:rFonts w:eastAsia="Times New Roman"/>
          <w:color w:val="auto"/>
        </w:rPr>
        <w:t>,</w:t>
      </w:r>
      <w:r>
        <w:rPr>
          <w:rFonts w:eastAsia="Times New Roman"/>
          <w:color w:val="auto"/>
        </w:rPr>
        <w:t xml:space="preserve"> </w:t>
      </w:r>
      <w:r w:rsidR="007943A0" w:rsidRPr="007943A0">
        <w:rPr>
          <w:rFonts w:eastAsia="Times New Roman"/>
          <w:color w:val="auto"/>
        </w:rPr>
        <w:t xml:space="preserve">L., Dobes, P. ve Pohanka, M. </w:t>
      </w:r>
      <w:r w:rsidR="007943A0" w:rsidRPr="007943A0">
        <w:rPr>
          <w:rFonts w:eastAsia="Times New Roman"/>
          <w:bCs/>
          <w:color w:val="auto"/>
        </w:rPr>
        <w:t>2014</w:t>
      </w:r>
      <w:r w:rsidR="007943A0" w:rsidRPr="007943A0">
        <w:rPr>
          <w:rFonts w:eastAsia="Times New Roman"/>
          <w:color w:val="auto"/>
        </w:rPr>
        <w:t xml:space="preserve">.  Low molecular weight precursor applicable for Alzhemier disease drugs syhtnesis AChE and BChE inhibition, BACE inhibition, antioxidant properties and in silico modulation), </w:t>
      </w:r>
      <w:r w:rsidR="007943A0" w:rsidRPr="007943A0">
        <w:rPr>
          <w:rFonts w:eastAsia="Times New Roman"/>
          <w:color w:val="auto"/>
          <w:shd w:val="clear" w:color="auto" w:fill="FFFFFF"/>
        </w:rPr>
        <w:t>Czech Republic,</w:t>
      </w:r>
      <w:r w:rsidR="007943A0" w:rsidRPr="007943A0">
        <w:rPr>
          <w:rFonts w:eastAsia="Times New Roman"/>
          <w:color w:val="auto"/>
        </w:rPr>
        <w:t xml:space="preserve"> </w:t>
      </w:r>
      <w:r w:rsidR="007943A0" w:rsidRPr="007943A0">
        <w:rPr>
          <w:rFonts w:eastAsia="Times New Roman"/>
          <w:color w:val="auto"/>
          <w:u w:val="single"/>
        </w:rPr>
        <w:t xml:space="preserve">Jounal of Applied Biomedicine, </w:t>
      </w:r>
      <w:r w:rsidR="007943A0" w:rsidRPr="007943A0">
        <w:rPr>
          <w:rFonts w:eastAsia="Times New Roman"/>
          <w:color w:val="auto"/>
        </w:rPr>
        <w:t>12, 285-299.</w:t>
      </w:r>
    </w:p>
    <w:p w14:paraId="0A19EF73"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4A3D6D1B" w14:textId="0696E583" w:rsidR="007943A0" w:rsidRDefault="007943A0" w:rsidP="008F2DA3">
      <w:pPr>
        <w:autoSpaceDE w:val="0"/>
        <w:autoSpaceDN w:val="0"/>
        <w:adjustRightInd w:val="0"/>
        <w:spacing w:after="0" w:line="240" w:lineRule="auto"/>
        <w:ind w:left="1096" w:hanging="1096"/>
        <w:jc w:val="both"/>
        <w:rPr>
          <w:rFonts w:eastAsia="Times New Roman"/>
          <w:color w:val="auto"/>
          <w:shd w:val="clear" w:color="auto" w:fill="FFFFFF"/>
        </w:rPr>
      </w:pPr>
      <w:r w:rsidRPr="007943A0">
        <w:rPr>
          <w:rFonts w:eastAsia="Times New Roman"/>
          <w:color w:val="auto"/>
          <w:shd w:val="clear" w:color="auto" w:fill="FFFFFF"/>
        </w:rPr>
        <w:t xml:space="preserve">Ebrahimabadi, A.H., Bidgoli Z., Mazoochi A., Kashi F.J. ve Batooli H., 2010. Essential Oil Composition, Antioxidant and Antimicrobial Activity of The Leaves And Flowers of </w:t>
      </w:r>
      <w:r w:rsidR="0016702B">
        <w:rPr>
          <w:rFonts w:eastAsia="Times New Roman"/>
          <w:color w:val="auto"/>
          <w:shd w:val="clear" w:color="auto" w:fill="FFFFFF"/>
        </w:rPr>
        <w:t xml:space="preserve">Chaerophyllum Macropodum Boiss, </w:t>
      </w:r>
      <w:r w:rsidRPr="0016702B">
        <w:rPr>
          <w:rFonts w:eastAsia="Times New Roman"/>
          <w:color w:val="auto"/>
          <w:u w:val="single"/>
          <w:shd w:val="clear" w:color="auto" w:fill="FFFFFF"/>
        </w:rPr>
        <w:t>Food Control</w:t>
      </w:r>
      <w:r w:rsidRPr="007943A0">
        <w:rPr>
          <w:rFonts w:eastAsia="Times New Roman"/>
          <w:color w:val="auto"/>
          <w:shd w:val="clear" w:color="auto" w:fill="FFFFFF"/>
        </w:rPr>
        <w:t>, 21, 1173-1178.</w:t>
      </w:r>
    </w:p>
    <w:p w14:paraId="2003CF25"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shd w:val="clear" w:color="auto" w:fill="FFFFFF"/>
        </w:rPr>
      </w:pPr>
    </w:p>
    <w:p w14:paraId="318F91D5" w14:textId="11BA2345" w:rsidR="007943A0" w:rsidRDefault="007943A0" w:rsidP="008F2DA3">
      <w:pPr>
        <w:autoSpaceDE w:val="0"/>
        <w:autoSpaceDN w:val="0"/>
        <w:adjustRightInd w:val="0"/>
        <w:spacing w:after="0" w:line="240" w:lineRule="auto"/>
        <w:ind w:left="1096" w:hanging="1096"/>
        <w:jc w:val="both"/>
        <w:rPr>
          <w:rFonts w:eastAsia="Times New Roman"/>
          <w:color w:val="auto"/>
          <w:shd w:val="clear" w:color="auto" w:fill="FFFFFF"/>
        </w:rPr>
      </w:pPr>
      <w:r w:rsidRPr="007943A0">
        <w:rPr>
          <w:rFonts w:eastAsia="Times New Roman"/>
          <w:color w:val="auto"/>
          <w:shd w:val="clear" w:color="auto" w:fill="FFFFFF"/>
        </w:rPr>
        <w:t>Ellman</w:t>
      </w:r>
      <w:r w:rsidR="0016702B">
        <w:rPr>
          <w:rFonts w:eastAsia="Times New Roman"/>
          <w:color w:val="auto"/>
          <w:shd w:val="clear" w:color="auto" w:fill="FFFFFF"/>
        </w:rPr>
        <w:t>,</w:t>
      </w:r>
      <w:r w:rsidRPr="007943A0">
        <w:rPr>
          <w:rFonts w:eastAsia="Times New Roman"/>
          <w:color w:val="auto"/>
          <w:shd w:val="clear" w:color="auto" w:fill="FFFFFF"/>
        </w:rPr>
        <w:t xml:space="preserve"> G.L., Courtney K.D., Andres V. ve Featherston R.M., 1961. A New And Rapidcolorimetric Determination of Acetylcholinesterase Activity, </w:t>
      </w:r>
      <w:r w:rsidRPr="007943A0">
        <w:rPr>
          <w:rFonts w:eastAsia="Times New Roman"/>
          <w:color w:val="auto"/>
          <w:u w:val="single"/>
          <w:shd w:val="clear" w:color="auto" w:fill="FFFFFF"/>
        </w:rPr>
        <w:t>Biochemical Pharmacology</w:t>
      </w:r>
      <w:r w:rsidRPr="007943A0">
        <w:rPr>
          <w:rFonts w:eastAsia="Times New Roman"/>
          <w:color w:val="auto"/>
          <w:shd w:val="clear" w:color="auto" w:fill="FFFFFF"/>
        </w:rPr>
        <w:t>, 7, 88-95.</w:t>
      </w:r>
    </w:p>
    <w:p w14:paraId="4D2E730A"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shd w:val="clear" w:color="auto" w:fill="FFFFFF"/>
        </w:rPr>
      </w:pPr>
    </w:p>
    <w:p w14:paraId="6BDA56DE"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Fershet, A., 1999. Structureand Mechanism in Protein Science:A Guide to Enzyme Catalysisand Protein Folding, W.H.Freeman, San Francisco.</w:t>
      </w:r>
    </w:p>
    <w:p w14:paraId="0A00341B"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32436F38" w14:textId="77777777" w:rsidR="007943A0" w:rsidRPr="007943A0" w:rsidRDefault="007943A0" w:rsidP="008F2DA3">
      <w:pPr>
        <w:autoSpaceDE w:val="0"/>
        <w:autoSpaceDN w:val="0"/>
        <w:adjustRightInd w:val="0"/>
        <w:spacing w:after="0" w:line="240" w:lineRule="auto"/>
        <w:ind w:left="1096" w:hanging="1096"/>
        <w:jc w:val="both"/>
        <w:rPr>
          <w:rFonts w:ascii="Calibri" w:eastAsia="Calibri" w:hAnsi="Calibri"/>
          <w:color w:val="auto"/>
          <w:sz w:val="22"/>
          <w:szCs w:val="22"/>
          <w:lang w:val="en-US" w:eastAsia="en-US"/>
        </w:rPr>
      </w:pPr>
      <w:r w:rsidRPr="007943A0">
        <w:rPr>
          <w:rFonts w:eastAsia="Times New Roman"/>
          <w:color w:val="auto"/>
        </w:rPr>
        <w:t xml:space="preserve">Gutteridge, A. ve Thornton, J.M., 2005. Understanding nature's catalytic toolkit, Cambridge UK, </w:t>
      </w:r>
      <w:r w:rsidRPr="007943A0">
        <w:rPr>
          <w:rFonts w:eastAsia="Times New Roman"/>
          <w:color w:val="auto"/>
          <w:u w:val="single"/>
        </w:rPr>
        <w:t>Trends in Biochemical Sciences</w:t>
      </w:r>
      <w:r w:rsidRPr="007943A0">
        <w:rPr>
          <w:rFonts w:eastAsia="Times New Roman"/>
          <w:color w:val="auto"/>
        </w:rPr>
        <w:t>, 30, 622-629.</w:t>
      </w:r>
      <w:r w:rsidRPr="007943A0">
        <w:rPr>
          <w:rFonts w:ascii="Calibri" w:eastAsia="Calibri" w:hAnsi="Calibri"/>
          <w:color w:val="auto"/>
          <w:sz w:val="22"/>
          <w:szCs w:val="22"/>
          <w:lang w:val="en-US" w:eastAsia="en-US"/>
        </w:rPr>
        <w:t xml:space="preserve"> </w:t>
      </w:r>
    </w:p>
    <w:p w14:paraId="600E98D3" w14:textId="3D595609" w:rsidR="007943A0" w:rsidRDefault="00996A9D" w:rsidP="008F2DA3">
      <w:pPr>
        <w:autoSpaceDE w:val="0"/>
        <w:autoSpaceDN w:val="0"/>
        <w:adjustRightInd w:val="0"/>
        <w:spacing w:after="0" w:line="240" w:lineRule="auto"/>
        <w:ind w:left="1096" w:hanging="1096"/>
        <w:jc w:val="both"/>
        <w:rPr>
          <w:rFonts w:eastAsia="Times New Roman"/>
          <w:color w:val="auto"/>
        </w:rPr>
      </w:pPr>
      <w:r>
        <w:rPr>
          <w:rFonts w:eastAsia="Times New Roman"/>
          <w:color w:val="auto"/>
        </w:rPr>
        <w:t xml:space="preserve">Gürdöl, F. ve </w:t>
      </w:r>
      <w:r w:rsidR="007943A0" w:rsidRPr="007943A0">
        <w:rPr>
          <w:rFonts w:eastAsia="Times New Roman"/>
          <w:color w:val="auto"/>
        </w:rPr>
        <w:t>Ademoğlu, E., 2006, Enzimler, Biyokimya, Nobel Tıp Kitabevleri, İstanbul, 161.</w:t>
      </w:r>
    </w:p>
    <w:p w14:paraId="44DBB1BF"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2B09BC8E" w14:textId="5F2C2886"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Göçer, H., Akıncıo</w:t>
      </w:r>
      <w:r w:rsidR="00996A9D">
        <w:rPr>
          <w:rFonts w:eastAsia="Times New Roman"/>
          <w:color w:val="auto"/>
        </w:rPr>
        <w:t xml:space="preserve">ğlu, A., Öztaşkın, N., Göksu S. ve </w:t>
      </w:r>
      <w:r w:rsidRPr="007943A0">
        <w:rPr>
          <w:rFonts w:eastAsia="Times New Roman"/>
          <w:color w:val="auto"/>
        </w:rPr>
        <w:t xml:space="preserve">Gülçin İ., 2013. Synthesis, antioxidant and antiacetylcholinesterase activities of sulfonamide derivatives of dopamine related compounds, Atina, </w:t>
      </w:r>
      <w:r w:rsidRPr="007943A0">
        <w:rPr>
          <w:rFonts w:eastAsia="Times New Roman"/>
          <w:color w:val="auto"/>
          <w:u w:val="single"/>
        </w:rPr>
        <w:t>Archive Der Pharmazie</w:t>
      </w:r>
      <w:r w:rsidRPr="007943A0">
        <w:rPr>
          <w:rFonts w:eastAsia="Times New Roman"/>
          <w:color w:val="auto"/>
        </w:rPr>
        <w:t>, 346, 783-792.</w:t>
      </w:r>
    </w:p>
    <w:p w14:paraId="3B3EC03B"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2F936EA0" w14:textId="68A75B5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Greig, N.H., Utsuki, T., Yu, Q., Zhu, X., Holloway, H.W., Perry, T., Lee, B., Ingram, D.K. ve  Lahiri, D.K., 2001. A new therapeutic target in Alzheimer's disease treatment: att</w:t>
      </w:r>
      <w:r w:rsidR="00FB3605">
        <w:rPr>
          <w:rFonts w:eastAsia="Times New Roman"/>
          <w:color w:val="auto"/>
        </w:rPr>
        <w:t xml:space="preserve">ention to butyrylcholinesterase, </w:t>
      </w:r>
      <w:r w:rsidR="00FB3605">
        <w:rPr>
          <w:rFonts w:eastAsia="Times New Roman"/>
          <w:color w:val="auto"/>
          <w:u w:val="single"/>
        </w:rPr>
        <w:t>Current Medical Research and</w:t>
      </w:r>
      <w:r w:rsidRPr="00FB3605">
        <w:rPr>
          <w:rFonts w:eastAsia="Times New Roman"/>
          <w:color w:val="auto"/>
          <w:u w:val="single"/>
        </w:rPr>
        <w:t xml:space="preserve"> Opinion</w:t>
      </w:r>
      <w:r w:rsidRPr="007943A0">
        <w:rPr>
          <w:rFonts w:eastAsia="Times New Roman"/>
          <w:color w:val="auto"/>
        </w:rPr>
        <w:t>, 17: 159-165.</w:t>
      </w:r>
    </w:p>
    <w:p w14:paraId="71617B16"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4607BE33"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Guillou, C., Mary, A., Renko, D.Z., Gras E. ve  Thal, C., 2000. Potent Acetylcholinesterase Inhibitors: Design, Synthesis and Structure-activity Relationships of Alkylene Linked Bisgalanthamine and Galanthamine-</w:t>
      </w:r>
      <w:r w:rsidRPr="007943A0">
        <w:rPr>
          <w:rFonts w:eastAsia="Times New Roman"/>
          <w:color w:val="auto"/>
        </w:rPr>
        <w:lastRenderedPageBreak/>
        <w:t xml:space="preserve">Galanthaminium Salts, </w:t>
      </w:r>
      <w:r w:rsidRPr="007943A0">
        <w:rPr>
          <w:rFonts w:eastAsia="Times New Roman"/>
          <w:color w:val="auto"/>
          <w:u w:val="single"/>
        </w:rPr>
        <w:t>Bioorganic &amp; Medicinal Chemistry Letters</w:t>
      </w:r>
      <w:r w:rsidRPr="007943A0">
        <w:rPr>
          <w:rFonts w:eastAsia="Times New Roman"/>
          <w:color w:val="auto"/>
        </w:rPr>
        <w:t>, 10, 637-639.</w:t>
      </w:r>
    </w:p>
    <w:p w14:paraId="43BBEB29"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32188EB5"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Heinrich, M., 2004. Snowdrops: the heralds of spring and a modern drug for Alzheimer’s disease, London, </w:t>
      </w:r>
      <w:r w:rsidRPr="007943A0">
        <w:rPr>
          <w:rFonts w:eastAsia="Times New Roman"/>
          <w:color w:val="auto"/>
          <w:u w:val="single"/>
        </w:rPr>
        <w:t>The Pharmaceutical Journal</w:t>
      </w:r>
      <w:r w:rsidRPr="007943A0">
        <w:rPr>
          <w:rFonts w:eastAsia="Times New Roman"/>
          <w:color w:val="auto"/>
        </w:rPr>
        <w:t>, 273, 905-906.</w:t>
      </w:r>
    </w:p>
    <w:p w14:paraId="1B395A97" w14:textId="77777777" w:rsidR="0086087B" w:rsidRDefault="0086087B" w:rsidP="008F2DA3">
      <w:pPr>
        <w:autoSpaceDE w:val="0"/>
        <w:autoSpaceDN w:val="0"/>
        <w:adjustRightInd w:val="0"/>
        <w:spacing w:after="0" w:line="240" w:lineRule="auto"/>
        <w:ind w:left="1096" w:hanging="1096"/>
        <w:jc w:val="both"/>
        <w:rPr>
          <w:rFonts w:eastAsia="Times New Roman"/>
          <w:color w:val="auto"/>
        </w:rPr>
      </w:pPr>
    </w:p>
    <w:p w14:paraId="4D0CEDFD" w14:textId="7792F884" w:rsidR="0081719D" w:rsidRDefault="0081719D" w:rsidP="008F2DA3">
      <w:pPr>
        <w:autoSpaceDE w:val="0"/>
        <w:autoSpaceDN w:val="0"/>
        <w:adjustRightInd w:val="0"/>
        <w:spacing w:after="0" w:line="240" w:lineRule="auto"/>
        <w:ind w:left="1096" w:hanging="1096"/>
        <w:jc w:val="both"/>
        <w:rPr>
          <w:rFonts w:eastAsia="Times New Roman"/>
          <w:color w:val="auto"/>
        </w:rPr>
      </w:pPr>
      <w:r>
        <w:rPr>
          <w:rFonts w:eastAsia="Times New Roman"/>
          <w:color w:val="auto"/>
        </w:rPr>
        <w:t xml:space="preserve">Islam, R., </w:t>
      </w:r>
      <w:r w:rsidR="00996A9D">
        <w:rPr>
          <w:rFonts w:eastAsia="Times New Roman"/>
          <w:color w:val="auto"/>
        </w:rPr>
        <w:t>Adip, M., Ahsan, M., Rahman, M. ve</w:t>
      </w:r>
      <w:r>
        <w:rPr>
          <w:rFonts w:eastAsia="Times New Roman"/>
          <w:color w:val="auto"/>
        </w:rPr>
        <w:t xml:space="preserve"> Mazid A., 2019. </w:t>
      </w:r>
      <w:r w:rsidRPr="0081719D">
        <w:rPr>
          <w:rFonts w:eastAsia="Times New Roman"/>
          <w:color w:val="auto"/>
        </w:rPr>
        <w:t>Cholinesterase and Glycation Inhibition Assay of Several Metabolites Obtained from Plant and Fungi</w:t>
      </w:r>
      <w:r>
        <w:rPr>
          <w:rFonts w:eastAsia="Times New Roman"/>
          <w:color w:val="auto"/>
        </w:rPr>
        <w:t>,</w:t>
      </w:r>
      <w:r w:rsidRPr="0081719D">
        <w:rPr>
          <w:rFonts w:eastAsia="Times New Roman"/>
          <w:color w:val="auto"/>
        </w:rPr>
        <w:t xml:space="preserve"> </w:t>
      </w:r>
      <w:r w:rsidRPr="0081719D">
        <w:rPr>
          <w:rFonts w:eastAsia="Times New Roman"/>
          <w:color w:val="auto"/>
          <w:u w:val="single"/>
        </w:rPr>
        <w:t>Journal of Pharmaceutical Sciences</w:t>
      </w:r>
      <w:r>
        <w:rPr>
          <w:rFonts w:eastAsia="Times New Roman"/>
          <w:color w:val="auto"/>
        </w:rPr>
        <w:t>,18,</w:t>
      </w:r>
      <w:r w:rsidRPr="0081719D">
        <w:rPr>
          <w:rFonts w:eastAsia="Times New Roman"/>
          <w:color w:val="auto"/>
        </w:rPr>
        <w:t xml:space="preserve"> </w:t>
      </w:r>
      <w:r>
        <w:rPr>
          <w:rFonts w:eastAsia="Times New Roman"/>
          <w:color w:val="auto"/>
        </w:rPr>
        <w:t>31</w:t>
      </w:r>
      <w:r w:rsidRPr="0081719D">
        <w:rPr>
          <w:rFonts w:eastAsia="Times New Roman"/>
          <w:color w:val="auto"/>
        </w:rPr>
        <w:t>-</w:t>
      </w:r>
      <w:r>
        <w:rPr>
          <w:rFonts w:eastAsia="Times New Roman"/>
          <w:color w:val="auto"/>
        </w:rPr>
        <w:t>38.</w:t>
      </w:r>
    </w:p>
    <w:p w14:paraId="02550C68"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732789F8"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İskender Yılmaz, N., 2012. Sübstitüe Azakalkonlardan Katalitik Hidrojenasyonla Piperidin Türevi Bileşiklerin Eldesi ve Biyolojik Aktiviteleri, Doktora Tezi, Karadeniz Teknik Üniversitesi, Fen Bilimleri Enstitüsü. Trabzon, 382 s.</w:t>
      </w:r>
    </w:p>
    <w:p w14:paraId="13C99214"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4EE4F597" w14:textId="4B55922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Kang, D., S</w:t>
      </w:r>
      <w:r w:rsidR="00996A9D">
        <w:rPr>
          <w:rFonts w:eastAsia="Times New Roman"/>
          <w:color w:val="auto"/>
        </w:rPr>
        <w:t>ong Y., Zhan, P., Zhang, Q. ve</w:t>
      </w:r>
      <w:r w:rsidRPr="007943A0">
        <w:rPr>
          <w:rFonts w:eastAsia="Times New Roman"/>
          <w:color w:val="auto"/>
        </w:rPr>
        <w:t xml:space="preserve"> Liu, K., 2013. Design, Synthesis, and Acetylcholinesterase Inhibition Assay of Novel 9-(1-(Substituted-benzyl)piperidin-4-yl)- 2-chloro-9H-purin-6-amine Derivatives, </w:t>
      </w:r>
      <w:r w:rsidRPr="007943A0">
        <w:rPr>
          <w:rFonts w:eastAsia="Times New Roman"/>
          <w:color w:val="auto"/>
          <w:u w:val="single"/>
        </w:rPr>
        <w:t>Hindawi Publishing Corporation Journal of Chemistry</w:t>
      </w:r>
      <w:r w:rsidRPr="007943A0">
        <w:rPr>
          <w:rFonts w:eastAsia="Times New Roman"/>
          <w:color w:val="auto"/>
        </w:rPr>
        <w:t>, 107302, 9.</w:t>
      </w:r>
    </w:p>
    <w:p w14:paraId="36F5C7C2"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40AE7D7E" w14:textId="4EA22ADE" w:rsidR="007943A0" w:rsidRP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Karaman N., Sıcak Y., Taşkın Tok, T., Öztürk M., Karaküçük İyidogan A., Dikmen M., Koç</w:t>
      </w:r>
      <w:r w:rsidR="00996A9D">
        <w:rPr>
          <w:rFonts w:eastAsia="Times New Roman"/>
          <w:color w:val="auto"/>
        </w:rPr>
        <w:t xml:space="preserve">yiğit Kaymakcıoğlu B. ve Oruç </w:t>
      </w:r>
      <w:r w:rsidRPr="007943A0">
        <w:rPr>
          <w:rFonts w:eastAsia="Times New Roman"/>
          <w:color w:val="auto"/>
        </w:rPr>
        <w:t>E.E., 2016. New piperidine-hydrazone derivatives: Synthesis, biological evaluations and molecular docking studies as AChE and BChE inhibitors.</w:t>
      </w:r>
      <w:r w:rsidRPr="007943A0">
        <w:rPr>
          <w:rFonts w:ascii="Calibri" w:eastAsia="Calibri" w:hAnsi="Calibri"/>
          <w:color w:val="auto"/>
          <w:sz w:val="22"/>
          <w:szCs w:val="22"/>
          <w:lang w:val="en-US" w:eastAsia="en-US"/>
        </w:rPr>
        <w:t xml:space="preserve"> </w:t>
      </w:r>
      <w:r w:rsidRPr="007943A0">
        <w:rPr>
          <w:rFonts w:eastAsia="Times New Roman"/>
          <w:color w:val="auto"/>
          <w:u w:val="single"/>
        </w:rPr>
        <w:t>European Journal of Medicinal Chemistry</w:t>
      </w:r>
      <w:r w:rsidRPr="007943A0">
        <w:rPr>
          <w:rFonts w:eastAsia="Times New Roman"/>
          <w:color w:val="auto"/>
        </w:rPr>
        <w:t>, 124, 270-283.</w:t>
      </w:r>
    </w:p>
    <w:p w14:paraId="01112A3C"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Kaya C., 2018. Bazı Piperidin Türevi Bileşiklerin Sentezi ve Olası Antidepresan Etkilerinin İncelenmesi, Yüksek Lisans Tezi, Anadolu Üniversitesi, Sağlık Bilimleri Enstitüsü, Eskişehir, 120 s.</w:t>
      </w:r>
    </w:p>
    <w:p w14:paraId="0DFD3AB1"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0A8E0303" w14:textId="2221D0A2" w:rsidR="007943A0" w:rsidRDefault="00996A9D" w:rsidP="008F2DA3">
      <w:pPr>
        <w:autoSpaceDE w:val="0"/>
        <w:autoSpaceDN w:val="0"/>
        <w:adjustRightInd w:val="0"/>
        <w:spacing w:after="0" w:line="240" w:lineRule="auto"/>
        <w:ind w:left="1096" w:hanging="1096"/>
        <w:jc w:val="both"/>
        <w:rPr>
          <w:rFonts w:eastAsia="TimesNewRomanPSMT"/>
          <w:color w:val="auto"/>
        </w:rPr>
      </w:pPr>
      <w:r>
        <w:rPr>
          <w:rFonts w:eastAsia="TimesNewRomanPSMT"/>
          <w:color w:val="auto"/>
        </w:rPr>
        <w:t>Keha, E</w:t>
      </w:r>
      <w:r w:rsidR="007943A0" w:rsidRPr="007943A0">
        <w:rPr>
          <w:rFonts w:eastAsia="TimesNewRomanPSMT"/>
          <w:color w:val="auto"/>
        </w:rPr>
        <w:t xml:space="preserve">. ve Küfrevioğlu, İ., 2012. </w:t>
      </w:r>
      <w:r w:rsidR="007943A0" w:rsidRPr="007943A0">
        <w:rPr>
          <w:rFonts w:eastAsia="TimesNewRomanPS-ItalicMT"/>
          <w:iCs/>
          <w:color w:val="auto"/>
        </w:rPr>
        <w:t>Biyokimya</w:t>
      </w:r>
      <w:r w:rsidR="007943A0" w:rsidRPr="007943A0">
        <w:rPr>
          <w:rFonts w:eastAsia="TimesNewRomanPSMT"/>
          <w:color w:val="auto"/>
        </w:rPr>
        <w:t>,</w:t>
      </w:r>
      <w:r w:rsidR="007943A0" w:rsidRPr="007943A0">
        <w:rPr>
          <w:rFonts w:eastAsia="Times New Roman"/>
          <w:color w:val="auto"/>
        </w:rPr>
        <w:t xml:space="preserve"> </w:t>
      </w:r>
      <w:r w:rsidR="007943A0" w:rsidRPr="007943A0">
        <w:rPr>
          <w:rFonts w:eastAsia="TimesNewRomanPSMT"/>
          <w:color w:val="auto"/>
        </w:rPr>
        <w:t>Aktif Yayınevi, Bizim Büro Basımevi Yayın-Dağıtım, Ankara, 645 s.</w:t>
      </w:r>
    </w:p>
    <w:p w14:paraId="46C14A47" w14:textId="77777777" w:rsidR="0086087B" w:rsidRPr="007943A0" w:rsidRDefault="0086087B" w:rsidP="008F2DA3">
      <w:pPr>
        <w:autoSpaceDE w:val="0"/>
        <w:autoSpaceDN w:val="0"/>
        <w:adjustRightInd w:val="0"/>
        <w:spacing w:after="0" w:line="240" w:lineRule="auto"/>
        <w:ind w:left="1096" w:hanging="1096"/>
        <w:jc w:val="both"/>
        <w:rPr>
          <w:rFonts w:eastAsia="TimesNewRomanPSMT"/>
          <w:color w:val="auto"/>
        </w:rPr>
      </w:pPr>
    </w:p>
    <w:p w14:paraId="05163AF3" w14:textId="182E6691" w:rsidR="007943A0" w:rsidRDefault="00996A9D" w:rsidP="008F2DA3">
      <w:pPr>
        <w:autoSpaceDE w:val="0"/>
        <w:autoSpaceDN w:val="0"/>
        <w:adjustRightInd w:val="0"/>
        <w:spacing w:after="0" w:line="240" w:lineRule="auto"/>
        <w:ind w:left="1096" w:hanging="1096"/>
        <w:jc w:val="both"/>
        <w:rPr>
          <w:rFonts w:eastAsia="TimesNewRomanPSMT"/>
          <w:color w:val="auto"/>
        </w:rPr>
      </w:pPr>
      <w:r>
        <w:rPr>
          <w:rFonts w:eastAsia="TimesNewRomanPSMT"/>
          <w:color w:val="auto"/>
        </w:rPr>
        <w:t xml:space="preserve">Khalid, H. ve </w:t>
      </w:r>
      <w:r w:rsidR="007943A0" w:rsidRPr="007943A0">
        <w:rPr>
          <w:rFonts w:eastAsia="TimesNewRomanPSMT"/>
          <w:color w:val="auto"/>
        </w:rPr>
        <w:t>Rehman, A., 2012. Synthesis of bioactive sulfonamides bearing piperidine nucleus with talented activity against cholinesterase. Department of Chemistry, Government College University, Lahore-54000, Pakistan 19pphe 16th International Electronic Conference on Synthetic Organic Chemistry</w:t>
      </w:r>
    </w:p>
    <w:p w14:paraId="004B658E" w14:textId="77777777" w:rsidR="0086087B" w:rsidRPr="007943A0" w:rsidRDefault="0086087B" w:rsidP="008F2DA3">
      <w:pPr>
        <w:autoSpaceDE w:val="0"/>
        <w:autoSpaceDN w:val="0"/>
        <w:adjustRightInd w:val="0"/>
        <w:spacing w:after="0" w:line="240" w:lineRule="auto"/>
        <w:ind w:left="1096" w:hanging="1096"/>
        <w:jc w:val="both"/>
        <w:rPr>
          <w:rFonts w:eastAsia="TimesNewRomanPSMT"/>
          <w:color w:val="auto"/>
        </w:rPr>
      </w:pPr>
    </w:p>
    <w:p w14:paraId="40E02560" w14:textId="6D6D1AA6"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 Kiani, A., Jalili-baleh, L., Abdolahi, Z., Nadri, H., </w:t>
      </w:r>
      <w:r w:rsidR="00996A9D">
        <w:rPr>
          <w:rFonts w:eastAsia="Times New Roman"/>
          <w:color w:val="auto"/>
        </w:rPr>
        <w:t>Foroumadi, A., Ebrahimi, S.E.S. ve</w:t>
      </w:r>
      <w:r w:rsidRPr="007943A0">
        <w:rPr>
          <w:rFonts w:eastAsia="Times New Roman"/>
          <w:color w:val="auto"/>
        </w:rPr>
        <w:t xml:space="preserve"> Khoobi, M., 2019. Cholinesterase Inhibition Activity and Docking Simulation Study of Coumarin Mannich Base Derivatives. Journal of Sciences, </w:t>
      </w:r>
      <w:r w:rsidRPr="007943A0">
        <w:rPr>
          <w:rFonts w:eastAsia="Times New Roman"/>
          <w:color w:val="auto"/>
          <w:u w:val="single"/>
        </w:rPr>
        <w:t xml:space="preserve">Islamic Republic of Iran, </w:t>
      </w:r>
      <w:r w:rsidRPr="007943A0">
        <w:rPr>
          <w:rFonts w:eastAsia="Times New Roman"/>
          <w:color w:val="auto"/>
        </w:rPr>
        <w:t>30, 5 – 12.</w:t>
      </w:r>
    </w:p>
    <w:p w14:paraId="4235EA6F"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7206B2B2"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Koç, N., 2010. Asetilkolinesteraz İnhibitörü Donepezil Hcl’nin Genotoksisitesi, Yüksek Lisans Tezi, Sakarya Üniversitesi, Fen Bilimleri Enstitüsü, Sakarya, 41 s.</w:t>
      </w:r>
    </w:p>
    <w:p w14:paraId="6783B14E" w14:textId="77777777" w:rsidR="0086087B" w:rsidRPr="007943A0" w:rsidRDefault="0086087B" w:rsidP="008F2DA3">
      <w:pPr>
        <w:autoSpaceDE w:val="0"/>
        <w:autoSpaceDN w:val="0"/>
        <w:adjustRightInd w:val="0"/>
        <w:spacing w:after="0" w:line="240" w:lineRule="auto"/>
        <w:ind w:left="1096" w:hanging="1096"/>
        <w:jc w:val="both"/>
        <w:rPr>
          <w:rFonts w:eastAsia="Times-Roman"/>
          <w:color w:val="auto"/>
        </w:rPr>
      </w:pPr>
    </w:p>
    <w:p w14:paraId="06023E85"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Koshlend, D.E., 1958. Application of a Theory of Enzyme Specificityto Protein Synthesis, New York, </w:t>
      </w:r>
      <w:r w:rsidRPr="007943A0">
        <w:rPr>
          <w:rFonts w:eastAsia="Times New Roman"/>
          <w:color w:val="auto"/>
          <w:u w:val="single"/>
        </w:rPr>
        <w:t>Proceedings of the National Academy of Sciences</w:t>
      </w:r>
      <w:r w:rsidRPr="007943A0">
        <w:rPr>
          <w:rFonts w:eastAsia="Times New Roman"/>
          <w:color w:val="auto"/>
        </w:rPr>
        <w:t>, 44, 98-104.</w:t>
      </w:r>
    </w:p>
    <w:p w14:paraId="296F782C"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1F251E81" w14:textId="39CA1AAD"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lastRenderedPageBreak/>
        <w:t>Lampón, N., Herm</w:t>
      </w:r>
      <w:r w:rsidR="00996A9D">
        <w:rPr>
          <w:rFonts w:eastAsia="Times New Roman"/>
          <w:color w:val="auto"/>
        </w:rPr>
        <w:t xml:space="preserve">ida-Cadahia, E.F., Riveiro, A. ve </w:t>
      </w:r>
      <w:r w:rsidRPr="007943A0">
        <w:rPr>
          <w:rFonts w:eastAsia="Times New Roman"/>
          <w:color w:val="auto"/>
        </w:rPr>
        <w:t xml:space="preserve">Tutor, J.C., 2012. Association between butyrylcholinesterase activity and lowLampón N, Hermida-Cadahia EF, Riveiro A, Tutor JC. Association between butyrylcholinesterase activity and lowgrade systemic inflammation, </w:t>
      </w:r>
      <w:r w:rsidRPr="007943A0">
        <w:rPr>
          <w:rFonts w:eastAsia="Times New Roman"/>
          <w:color w:val="auto"/>
          <w:u w:val="single"/>
        </w:rPr>
        <w:t>Annals of Hepatology</w:t>
      </w:r>
      <w:r w:rsidRPr="007943A0">
        <w:rPr>
          <w:rFonts w:eastAsia="Times New Roman"/>
          <w:color w:val="auto"/>
        </w:rPr>
        <w:t>, 11, 356-63.</w:t>
      </w:r>
    </w:p>
    <w:p w14:paraId="3461ED47"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6E0FF874" w14:textId="6470BB10" w:rsidR="007943A0" w:rsidRDefault="00996A9D" w:rsidP="008F2DA3">
      <w:pPr>
        <w:autoSpaceDE w:val="0"/>
        <w:autoSpaceDN w:val="0"/>
        <w:adjustRightInd w:val="0"/>
        <w:spacing w:after="0" w:line="240" w:lineRule="auto"/>
        <w:ind w:left="1096" w:hanging="1096"/>
        <w:jc w:val="both"/>
        <w:rPr>
          <w:rFonts w:eastAsia="Times New Roman"/>
          <w:color w:val="auto"/>
        </w:rPr>
      </w:pPr>
      <w:r>
        <w:rPr>
          <w:rFonts w:eastAsia="Times New Roman"/>
          <w:color w:val="auto"/>
        </w:rPr>
        <w:t>Lane, R.M., Potkin</w:t>
      </w:r>
      <w:r w:rsidR="00FB3605">
        <w:rPr>
          <w:rFonts w:eastAsia="Times New Roman"/>
          <w:color w:val="auto"/>
        </w:rPr>
        <w:t xml:space="preserve">, </w:t>
      </w:r>
      <w:r>
        <w:rPr>
          <w:rFonts w:eastAsia="Times New Roman"/>
          <w:color w:val="auto"/>
        </w:rPr>
        <w:t xml:space="preserve">S.G. ve </w:t>
      </w:r>
      <w:r w:rsidR="007943A0" w:rsidRPr="007943A0">
        <w:rPr>
          <w:rFonts w:eastAsia="Times New Roman"/>
          <w:color w:val="auto"/>
        </w:rPr>
        <w:t>Enz</w:t>
      </w:r>
      <w:r w:rsidR="00FB3605">
        <w:rPr>
          <w:rFonts w:eastAsia="Times New Roman"/>
          <w:color w:val="auto"/>
        </w:rPr>
        <w:t xml:space="preserve">, A., 2006. </w:t>
      </w:r>
      <w:r w:rsidR="007943A0" w:rsidRPr="007943A0">
        <w:rPr>
          <w:rFonts w:eastAsia="Times New Roman"/>
          <w:color w:val="auto"/>
        </w:rPr>
        <w:t>Targeting acetylcholinest</w:t>
      </w:r>
      <w:r w:rsidR="00FB3605">
        <w:rPr>
          <w:rFonts w:eastAsia="Times New Roman"/>
          <w:color w:val="auto"/>
        </w:rPr>
        <w:t xml:space="preserve">erase and butyrylcholinesterase in dementia. International </w:t>
      </w:r>
      <w:r w:rsidR="007943A0" w:rsidRPr="007943A0">
        <w:rPr>
          <w:rFonts w:eastAsia="Times New Roman"/>
          <w:color w:val="auto"/>
          <w:u w:val="single"/>
        </w:rPr>
        <w:t>Journal of Neuropsychopharmacology</w:t>
      </w:r>
      <w:r w:rsidR="00FB3605">
        <w:rPr>
          <w:rFonts w:eastAsia="Times New Roman"/>
          <w:color w:val="auto"/>
        </w:rPr>
        <w:t xml:space="preserve">, </w:t>
      </w:r>
      <w:r w:rsidR="007943A0" w:rsidRPr="007943A0">
        <w:rPr>
          <w:rFonts w:eastAsia="Times New Roman"/>
          <w:color w:val="auto"/>
        </w:rPr>
        <w:t>9, 101–124.</w:t>
      </w:r>
    </w:p>
    <w:p w14:paraId="2CB07233"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0CD8C7EF" w14:textId="737ADB83" w:rsidR="0086087B"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Levent, S., Sağlık, B.N., Acar Çevik, U. ve Özkay, Y., 2016. Synthesis of Novel Piperidine Compounds As Anticholinesterase Agents, </w:t>
      </w:r>
      <w:r w:rsidRPr="007943A0">
        <w:rPr>
          <w:rFonts w:eastAsia="Times New Roman"/>
          <w:color w:val="auto"/>
          <w:u w:val="single"/>
        </w:rPr>
        <w:t>International Journal of Pharmaceutical Science Invention</w:t>
      </w:r>
      <w:r w:rsidRPr="007943A0">
        <w:rPr>
          <w:rFonts w:eastAsia="Times New Roman"/>
          <w:color w:val="auto"/>
        </w:rPr>
        <w:t>, 5, 40-42.</w:t>
      </w:r>
    </w:p>
    <w:p w14:paraId="2BD88699" w14:textId="77777777" w:rsidR="0086087B" w:rsidRDefault="0086087B" w:rsidP="008F2DA3">
      <w:pPr>
        <w:autoSpaceDE w:val="0"/>
        <w:autoSpaceDN w:val="0"/>
        <w:adjustRightInd w:val="0"/>
        <w:spacing w:after="0" w:line="240" w:lineRule="auto"/>
        <w:ind w:left="1096" w:hanging="1096"/>
        <w:jc w:val="both"/>
        <w:rPr>
          <w:rFonts w:eastAsia="Times New Roman"/>
          <w:color w:val="auto"/>
        </w:rPr>
      </w:pPr>
    </w:p>
    <w:p w14:paraId="7D4A854D" w14:textId="0A6D4F32" w:rsidR="00A155B5" w:rsidRPr="007943A0" w:rsidRDefault="00A155B5" w:rsidP="008F2DA3">
      <w:pPr>
        <w:autoSpaceDE w:val="0"/>
        <w:autoSpaceDN w:val="0"/>
        <w:adjustRightInd w:val="0"/>
        <w:spacing w:after="0" w:line="240" w:lineRule="auto"/>
        <w:ind w:left="1096" w:hanging="1096"/>
        <w:jc w:val="both"/>
        <w:rPr>
          <w:rFonts w:eastAsia="Times New Roman"/>
          <w:color w:val="auto"/>
        </w:rPr>
      </w:pPr>
      <w:r w:rsidRPr="00A155B5">
        <w:rPr>
          <w:rFonts w:eastAsia="Times New Roman"/>
          <w:color w:val="auto"/>
        </w:rPr>
        <w:t>Li,</w:t>
      </w:r>
      <w:r>
        <w:rPr>
          <w:rFonts w:eastAsia="Times New Roman"/>
          <w:color w:val="auto"/>
        </w:rPr>
        <w:t xml:space="preserve"> F., </w:t>
      </w:r>
      <w:r w:rsidRPr="00A155B5">
        <w:rPr>
          <w:rFonts w:eastAsia="Times New Roman"/>
          <w:color w:val="auto"/>
        </w:rPr>
        <w:t>Wang,</w:t>
      </w:r>
      <w:r>
        <w:rPr>
          <w:rFonts w:eastAsia="Times New Roman"/>
          <w:color w:val="auto"/>
        </w:rPr>
        <w:t xml:space="preserve"> Z., </w:t>
      </w:r>
      <w:r w:rsidRPr="00A155B5">
        <w:rPr>
          <w:rFonts w:eastAsia="Times New Roman"/>
          <w:color w:val="auto"/>
        </w:rPr>
        <w:t>Wu,</w:t>
      </w:r>
      <w:r>
        <w:rPr>
          <w:rFonts w:eastAsia="Times New Roman"/>
          <w:color w:val="auto"/>
        </w:rPr>
        <w:t xml:space="preserve"> J., </w:t>
      </w:r>
      <w:r w:rsidRPr="00A155B5">
        <w:rPr>
          <w:rFonts w:eastAsia="Times New Roman"/>
          <w:color w:val="auto"/>
        </w:rPr>
        <w:t>Wang,</w:t>
      </w:r>
      <w:r>
        <w:rPr>
          <w:rFonts w:eastAsia="Times New Roman"/>
          <w:color w:val="auto"/>
        </w:rPr>
        <w:t xml:space="preserve"> J., </w:t>
      </w:r>
      <w:r w:rsidRPr="00A155B5">
        <w:rPr>
          <w:rFonts w:eastAsia="Times New Roman"/>
          <w:color w:val="auto"/>
        </w:rPr>
        <w:t>Xie,</w:t>
      </w:r>
      <w:r>
        <w:rPr>
          <w:rFonts w:eastAsia="Times New Roman"/>
          <w:color w:val="auto"/>
        </w:rPr>
        <w:t xml:space="preserve"> S., </w:t>
      </w:r>
      <w:r w:rsidRPr="00A155B5">
        <w:rPr>
          <w:rFonts w:eastAsia="Times New Roman"/>
          <w:color w:val="auto"/>
        </w:rPr>
        <w:t>Lan,</w:t>
      </w:r>
      <w:r w:rsidR="00D0772A">
        <w:rPr>
          <w:rFonts w:eastAsia="Times New Roman"/>
          <w:color w:val="auto"/>
        </w:rPr>
        <w:t xml:space="preserve"> J., </w:t>
      </w:r>
      <w:r w:rsidRPr="00A155B5">
        <w:rPr>
          <w:rFonts w:eastAsia="Times New Roman"/>
          <w:color w:val="auto"/>
        </w:rPr>
        <w:t>Xu,</w:t>
      </w:r>
      <w:r w:rsidR="00D0772A">
        <w:rPr>
          <w:rFonts w:eastAsia="Times New Roman"/>
          <w:color w:val="auto"/>
        </w:rPr>
        <w:t xml:space="preserve"> W., </w:t>
      </w:r>
      <w:r w:rsidRPr="00A155B5">
        <w:rPr>
          <w:rFonts w:eastAsia="Times New Roman"/>
          <w:color w:val="auto"/>
        </w:rPr>
        <w:t>Kong,</w:t>
      </w:r>
      <w:r w:rsidR="00996A9D">
        <w:rPr>
          <w:rFonts w:eastAsia="Times New Roman"/>
          <w:color w:val="auto"/>
        </w:rPr>
        <w:t xml:space="preserve"> L. ve </w:t>
      </w:r>
      <w:r w:rsidRPr="00A155B5">
        <w:rPr>
          <w:rFonts w:eastAsia="Times New Roman"/>
          <w:color w:val="auto"/>
        </w:rPr>
        <w:t>Wang</w:t>
      </w:r>
      <w:r w:rsidR="00D0772A">
        <w:rPr>
          <w:rFonts w:eastAsia="Times New Roman"/>
          <w:color w:val="auto"/>
        </w:rPr>
        <w:t>, X,, 2016</w:t>
      </w:r>
      <w:r w:rsidRPr="00A155B5">
        <w:rPr>
          <w:rFonts w:eastAsia="Times New Roman"/>
          <w:color w:val="auto"/>
        </w:rPr>
        <w:t>. Synthesis and pharmacological evaluation of donepezil-based agents as new cholinesterase/monoamine oxidase inhibitors for the potential application against Alzheimer’s disease</w:t>
      </w:r>
      <w:r w:rsidR="00D0772A">
        <w:rPr>
          <w:rFonts w:eastAsia="Times New Roman"/>
          <w:color w:val="auto"/>
        </w:rPr>
        <w:t xml:space="preserve">, </w:t>
      </w:r>
      <w:r w:rsidRPr="00D0772A">
        <w:rPr>
          <w:rFonts w:eastAsia="Times New Roman"/>
          <w:color w:val="auto"/>
          <w:u w:val="single"/>
        </w:rPr>
        <w:t>Journal of Enzyme Inhibition and Medicinal Chemistry</w:t>
      </w:r>
      <w:r w:rsidR="00FB3605">
        <w:rPr>
          <w:rFonts w:eastAsia="Times New Roman"/>
          <w:color w:val="auto"/>
        </w:rPr>
        <w:t xml:space="preserve">, 2016; 31, </w:t>
      </w:r>
      <w:r w:rsidRPr="00A155B5">
        <w:rPr>
          <w:rFonts w:eastAsia="Times New Roman"/>
          <w:color w:val="auto"/>
        </w:rPr>
        <w:t xml:space="preserve"> 41–53</w:t>
      </w:r>
      <w:r w:rsidR="00D0772A">
        <w:rPr>
          <w:rFonts w:eastAsia="Times New Roman"/>
          <w:color w:val="auto"/>
        </w:rPr>
        <w:t>.</w:t>
      </w:r>
    </w:p>
    <w:p w14:paraId="3057C180"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Mack, A. ve Robitzki, A., 2000. The Key Role of Butyrylcholinesterase During Neurogenesis and Neural Disorders: An Antisense- 5 Butyrylcholinesterase-DNA Study, </w:t>
      </w:r>
      <w:r w:rsidRPr="007943A0">
        <w:rPr>
          <w:rFonts w:eastAsia="Times New Roman"/>
          <w:color w:val="auto"/>
          <w:u w:val="single"/>
        </w:rPr>
        <w:t>Progress in Neurobiology</w:t>
      </w:r>
      <w:r w:rsidRPr="007943A0">
        <w:rPr>
          <w:rFonts w:eastAsia="Times New Roman"/>
          <w:color w:val="auto"/>
        </w:rPr>
        <w:t>, 60, 607-628.</w:t>
      </w:r>
    </w:p>
    <w:p w14:paraId="0819E779"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31A7069F"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Mahmoud, F.F., Haines, D.D., Abdul, H.T., Omu, A.E., Abu-Donia, M.B., 2006. Butyrylcholinesterase activity in gestational diabetes: correlation with lymphocyte subpopulations in peripheral blood, </w:t>
      </w:r>
      <w:r w:rsidRPr="007943A0">
        <w:rPr>
          <w:rFonts w:eastAsia="Times New Roman"/>
          <w:color w:val="auto"/>
          <w:u w:val="single"/>
        </w:rPr>
        <w:t>American Journal of Reproductive Immunology,</w:t>
      </w:r>
      <w:r w:rsidRPr="007943A0">
        <w:rPr>
          <w:rFonts w:eastAsia="Times New Roman"/>
          <w:color w:val="auto"/>
        </w:rPr>
        <w:t xml:space="preserve"> 56, 185-92.</w:t>
      </w:r>
    </w:p>
    <w:p w14:paraId="64D1B15F"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6FB5C14C"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Massoulie, J., Sussman, J., Bon, S. ve Silman, I., 1993. Structure and Functions of Acetylcholinesterase and Butyrylcholinesterase, </w:t>
      </w:r>
      <w:r w:rsidRPr="007943A0">
        <w:rPr>
          <w:rFonts w:eastAsia="Times New Roman"/>
          <w:color w:val="auto"/>
          <w:u w:val="single"/>
        </w:rPr>
        <w:t>Progress in Brain Research</w:t>
      </w:r>
      <w:r w:rsidRPr="007943A0">
        <w:rPr>
          <w:rFonts w:eastAsia="Times New Roman"/>
          <w:color w:val="auto"/>
        </w:rPr>
        <w:t>, 98, 139–146.</w:t>
      </w:r>
    </w:p>
    <w:p w14:paraId="5B8E6DFD"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2AC58203"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McDonald, A.G. ve Tipton,K.F., 2014. Fifty five years of enzyme classication: advances and diffculties, Ireland, </w:t>
      </w:r>
      <w:r w:rsidRPr="007943A0">
        <w:rPr>
          <w:rFonts w:eastAsia="Times New Roman"/>
          <w:color w:val="auto"/>
          <w:u w:val="single"/>
        </w:rPr>
        <w:t>Federation of European Biochemical Societies</w:t>
      </w:r>
      <w:r w:rsidRPr="007943A0">
        <w:rPr>
          <w:rFonts w:eastAsia="Times New Roman"/>
          <w:color w:val="auto"/>
        </w:rPr>
        <w:t>., 281, 583-592.</w:t>
      </w:r>
    </w:p>
    <w:p w14:paraId="021E7302"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76197B3D" w14:textId="18C117A6"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Meena, P., Nemaysh, V., Khatri, M., Manral, A., Luthra, P.M. ve Tiwari, M., 2015. Synthesis, biological evaluation and molecular docking study of novel piperidine and piperazine derivatives as multi-targeted agents to treat A</w:t>
      </w:r>
      <w:r w:rsidR="00FB3605">
        <w:rPr>
          <w:rFonts w:eastAsia="Times New Roman"/>
          <w:color w:val="auto"/>
        </w:rPr>
        <w:t xml:space="preserve">lzheimer’s disease, </w:t>
      </w:r>
      <w:r w:rsidR="00FB3605" w:rsidRPr="00FB3605">
        <w:rPr>
          <w:rFonts w:eastAsia="Times New Roman"/>
          <w:color w:val="auto"/>
          <w:u w:val="single"/>
        </w:rPr>
        <w:t>Bioorganic and</w:t>
      </w:r>
      <w:r w:rsidRPr="00FB3605">
        <w:rPr>
          <w:rFonts w:eastAsia="Times New Roman"/>
          <w:color w:val="auto"/>
          <w:u w:val="single"/>
        </w:rPr>
        <w:t xml:space="preserve"> Medicinal Chemistry</w:t>
      </w:r>
      <w:r w:rsidRPr="007943A0">
        <w:rPr>
          <w:rFonts w:eastAsia="Times New Roman"/>
          <w:color w:val="auto"/>
        </w:rPr>
        <w:t>, 23, 1135–1148.</w:t>
      </w:r>
    </w:p>
    <w:p w14:paraId="652EBD03"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4A99BE4F"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Mesulam, M.M., 2003. Butyrylcholinesterase in the normal and Alzheimer brain. In : Giacobini E (Ed.), Butyrylcholinesterase : Its Function and Inhibitors. London: Martin Dunitz.</w:t>
      </w:r>
    </w:p>
    <w:p w14:paraId="4D15F927" w14:textId="77777777" w:rsidR="0086087B" w:rsidRDefault="0086087B" w:rsidP="008F2DA3">
      <w:pPr>
        <w:autoSpaceDE w:val="0"/>
        <w:autoSpaceDN w:val="0"/>
        <w:adjustRightInd w:val="0"/>
        <w:spacing w:after="0" w:line="240" w:lineRule="auto"/>
        <w:ind w:left="1096" w:hanging="1096"/>
        <w:jc w:val="both"/>
        <w:rPr>
          <w:rFonts w:eastAsia="Times New Roman"/>
          <w:color w:val="auto"/>
        </w:rPr>
      </w:pPr>
    </w:p>
    <w:p w14:paraId="69F611BA" w14:textId="417659CF" w:rsidR="0081719D" w:rsidRDefault="0081719D" w:rsidP="008F2DA3">
      <w:pPr>
        <w:autoSpaceDE w:val="0"/>
        <w:autoSpaceDN w:val="0"/>
        <w:adjustRightInd w:val="0"/>
        <w:spacing w:after="0" w:line="240" w:lineRule="auto"/>
        <w:ind w:left="1096" w:hanging="1096"/>
        <w:jc w:val="both"/>
        <w:rPr>
          <w:rFonts w:eastAsia="Times New Roman"/>
          <w:color w:val="auto"/>
        </w:rPr>
      </w:pPr>
      <w:r w:rsidRPr="0081719D">
        <w:rPr>
          <w:rFonts w:eastAsia="Times New Roman"/>
          <w:color w:val="auto"/>
        </w:rPr>
        <w:t>Mohsen</w:t>
      </w:r>
      <w:r>
        <w:rPr>
          <w:rFonts w:eastAsia="Times New Roman"/>
          <w:color w:val="auto"/>
        </w:rPr>
        <w:t>,</w:t>
      </w:r>
      <w:r w:rsidR="00996A9D">
        <w:rPr>
          <w:rFonts w:eastAsia="Times New Roman"/>
          <w:color w:val="auto"/>
        </w:rPr>
        <w:t xml:space="preserve"> </w:t>
      </w:r>
      <w:r>
        <w:rPr>
          <w:rFonts w:eastAsia="Times New Roman"/>
          <w:color w:val="auto"/>
        </w:rPr>
        <w:t xml:space="preserve">U.A.,2012. </w:t>
      </w:r>
      <w:r w:rsidRPr="0081719D">
        <w:rPr>
          <w:rFonts w:eastAsia="Times New Roman"/>
          <w:color w:val="auto"/>
        </w:rPr>
        <w:t>Studies on Imidazopyridine Derivatives as Acetylcholinesterase Inhibitors</w:t>
      </w:r>
      <w:r>
        <w:rPr>
          <w:rFonts w:eastAsia="Times New Roman"/>
          <w:color w:val="auto"/>
        </w:rPr>
        <w:t xml:space="preserve">, </w:t>
      </w:r>
      <w:r>
        <w:rPr>
          <w:rFonts w:eastAsia="Times New Roman"/>
          <w:color w:val="auto"/>
          <w:u w:val="single"/>
        </w:rPr>
        <w:t>Clinical and Experimental Health Science</w:t>
      </w:r>
      <w:r>
        <w:rPr>
          <w:rFonts w:eastAsia="Times New Roman"/>
          <w:color w:val="auto"/>
        </w:rPr>
        <w:t>, 2,</w:t>
      </w:r>
      <w:r w:rsidRPr="0081719D">
        <w:rPr>
          <w:rFonts w:eastAsia="Times New Roman"/>
          <w:color w:val="auto"/>
        </w:rPr>
        <w:t>119-123</w:t>
      </w:r>
      <w:r>
        <w:rPr>
          <w:rFonts w:eastAsia="Times New Roman"/>
          <w:color w:val="auto"/>
        </w:rPr>
        <w:t>.</w:t>
      </w:r>
    </w:p>
    <w:p w14:paraId="5F042E93"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0726ACF4" w14:textId="6648FB96"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MyriadPro-Regular"/>
          <w:color w:val="auto"/>
        </w:rPr>
        <w:lastRenderedPageBreak/>
        <w:t xml:space="preserve">Mohsen,U.A., Koçyiğit, B., Oruç, E.E., Asım Kaplancıklı, E.Z. ve Rollas, S., 2015.  </w:t>
      </w:r>
      <w:r w:rsidRPr="007943A0">
        <w:rPr>
          <w:rFonts w:eastAsia="Times New Roman"/>
          <w:color w:val="auto"/>
        </w:rPr>
        <w:t>Studies on Hydrazide–Hydrazones Derivatives As Acetylcholinesterase Inhibitors, Turkey,</w:t>
      </w:r>
      <w:r w:rsidR="0081719D">
        <w:rPr>
          <w:rFonts w:eastAsia="Times New Roman"/>
          <w:color w:val="auto"/>
          <w:u w:val="single"/>
        </w:rPr>
        <w:t xml:space="preserve"> </w:t>
      </w:r>
      <w:r w:rsidR="000225F9" w:rsidRPr="000225F9">
        <w:rPr>
          <w:rFonts w:eastAsia="Times New Roman"/>
          <w:color w:val="auto"/>
          <w:u w:val="single"/>
        </w:rPr>
        <w:t>Clinical and Experimental Health Science</w:t>
      </w:r>
      <w:r w:rsidRPr="007943A0">
        <w:rPr>
          <w:rFonts w:eastAsia="Times New Roman"/>
          <w:color w:val="auto"/>
        </w:rPr>
        <w:t>, 1, 10-14.</w:t>
      </w:r>
    </w:p>
    <w:p w14:paraId="3E7B9C56"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71C5AE5B" w14:textId="4A5543CE" w:rsidR="007943A0" w:rsidRP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Naicker, L.</w:t>
      </w:r>
      <w:r w:rsidR="00996A9D">
        <w:rPr>
          <w:rFonts w:eastAsia="Times New Roman"/>
          <w:color w:val="auto"/>
        </w:rPr>
        <w:t xml:space="preserve">, Venugopala, K. N., Shode, F. ve </w:t>
      </w:r>
      <w:r w:rsidRPr="007943A0">
        <w:rPr>
          <w:rFonts w:eastAsia="Times New Roman"/>
          <w:color w:val="auto"/>
        </w:rPr>
        <w:t xml:space="preserve">Odhav, B., 2015. Antimicrobial and antioxidant activities of piperidine derivatives. </w:t>
      </w:r>
      <w:r w:rsidRPr="007943A0">
        <w:rPr>
          <w:rFonts w:eastAsia="Times New Roman"/>
          <w:color w:val="auto"/>
          <w:u w:val="single"/>
        </w:rPr>
        <w:t>African Journal of Pharmacy and Pharmacology</w:t>
      </w:r>
      <w:r w:rsidRPr="007943A0">
        <w:rPr>
          <w:rFonts w:eastAsia="Times New Roman"/>
          <w:color w:val="auto"/>
        </w:rPr>
        <w:t>, 9, 783-792.</w:t>
      </w:r>
    </w:p>
    <w:p w14:paraId="47BECF38"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Nelson, D.L. ve Cox, M.M. 2005. Lehninger Biyokimyanın Etkileri. Palme Yayıncılık. 444- 445.</w:t>
      </w:r>
    </w:p>
    <w:p w14:paraId="27296E67"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7E20826A" w14:textId="77777777" w:rsidR="007943A0" w:rsidRDefault="007943A0" w:rsidP="008F2DA3">
      <w:pPr>
        <w:autoSpaceDE w:val="0"/>
        <w:autoSpaceDN w:val="0"/>
        <w:adjustRightInd w:val="0"/>
        <w:spacing w:after="0" w:line="240" w:lineRule="auto"/>
        <w:ind w:left="1096" w:hanging="1096"/>
        <w:jc w:val="both"/>
        <w:rPr>
          <w:rFonts w:eastAsia="Times New Roman"/>
          <w:color w:val="auto"/>
          <w:shd w:val="clear" w:color="auto" w:fill="FFFFFF"/>
        </w:rPr>
      </w:pPr>
      <w:r w:rsidRPr="007943A0">
        <w:rPr>
          <w:rFonts w:eastAsia="Times New Roman"/>
          <w:color w:val="auto"/>
          <w:shd w:val="clear" w:color="auto" w:fill="FFFFFF"/>
        </w:rPr>
        <w:t xml:space="preserve">Neurath, G.B., Dünger, M., Pein, F.G., Ambrosius, D. ve Schreiber, O., 1977. Primary and secondary amines in the human environment, </w:t>
      </w:r>
      <w:r w:rsidRPr="007943A0">
        <w:rPr>
          <w:rFonts w:eastAsia="Times New Roman"/>
          <w:color w:val="auto"/>
          <w:u w:val="single"/>
          <w:shd w:val="clear" w:color="auto" w:fill="FFFFFF"/>
        </w:rPr>
        <w:t>Food and Chemical Toxicology</w:t>
      </w:r>
      <w:r w:rsidRPr="007943A0">
        <w:rPr>
          <w:rFonts w:eastAsia="Times New Roman"/>
          <w:color w:val="auto"/>
          <w:shd w:val="clear" w:color="auto" w:fill="FFFFFF"/>
        </w:rPr>
        <w:t xml:space="preserve">, 15, 275–282. </w:t>
      </w:r>
    </w:p>
    <w:p w14:paraId="7B7D331E"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shd w:val="clear" w:color="auto" w:fill="FFFFFF"/>
        </w:rPr>
      </w:pPr>
    </w:p>
    <w:p w14:paraId="40380C00" w14:textId="77777777" w:rsidR="007943A0" w:rsidRDefault="007943A0" w:rsidP="008F2DA3">
      <w:pPr>
        <w:autoSpaceDE w:val="0"/>
        <w:autoSpaceDN w:val="0"/>
        <w:adjustRightInd w:val="0"/>
        <w:spacing w:after="0" w:line="240" w:lineRule="auto"/>
        <w:ind w:left="1096" w:hanging="1096"/>
        <w:jc w:val="both"/>
        <w:rPr>
          <w:rFonts w:eastAsia="Times New Roman"/>
          <w:color w:val="auto"/>
          <w:shd w:val="clear" w:color="auto" w:fill="FFFFFF"/>
        </w:rPr>
      </w:pPr>
      <w:r w:rsidRPr="007943A0">
        <w:rPr>
          <w:rFonts w:eastAsia="Times New Roman"/>
          <w:color w:val="auto"/>
          <w:shd w:val="clear" w:color="auto" w:fill="FFFFFF"/>
        </w:rPr>
        <w:t>Özcan. B., 2014.</w:t>
      </w:r>
      <w:r w:rsidRPr="007943A0">
        <w:rPr>
          <w:rFonts w:ascii="Calibri" w:eastAsia="Calibri" w:hAnsi="Calibri"/>
          <w:color w:val="auto"/>
          <w:sz w:val="22"/>
          <w:szCs w:val="22"/>
          <w:lang w:val="en-US" w:eastAsia="en-US"/>
        </w:rPr>
        <w:t xml:space="preserve"> </w:t>
      </w:r>
      <w:r w:rsidRPr="007943A0">
        <w:rPr>
          <w:rFonts w:eastAsia="Times New Roman"/>
          <w:color w:val="auto"/>
          <w:shd w:val="clear" w:color="auto" w:fill="FFFFFF"/>
        </w:rPr>
        <w:t>İnsan Eritrositlerinden Saflaştırılan Asetilkolinesteraz Enzim Aktivitesi Üzerine Bazı Kimyasal Maddelerin Etkilerinin İncelenmesi, Doktora Tezi, Atatürk Üniversitesi, Fen Bilimleri Enstitüsü, 149s.</w:t>
      </w:r>
    </w:p>
    <w:p w14:paraId="0D1EED9A"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shd w:val="clear" w:color="auto" w:fill="FFFFFF"/>
        </w:rPr>
      </w:pPr>
    </w:p>
    <w:p w14:paraId="413140A1" w14:textId="77777777" w:rsidR="007943A0" w:rsidRDefault="007943A0" w:rsidP="008F2DA3">
      <w:pPr>
        <w:autoSpaceDE w:val="0"/>
        <w:autoSpaceDN w:val="0"/>
        <w:adjustRightInd w:val="0"/>
        <w:spacing w:after="0" w:line="240" w:lineRule="auto"/>
        <w:ind w:left="1096" w:hanging="1096"/>
        <w:jc w:val="both"/>
        <w:rPr>
          <w:rFonts w:eastAsia="Times New Roman"/>
          <w:color w:val="auto"/>
          <w:shd w:val="clear" w:color="auto" w:fill="FFFFFF"/>
        </w:rPr>
      </w:pPr>
      <w:r w:rsidRPr="007943A0">
        <w:rPr>
          <w:rFonts w:eastAsia="Times New Roman"/>
          <w:color w:val="auto"/>
          <w:shd w:val="clear" w:color="auto" w:fill="FFFFFF"/>
        </w:rPr>
        <w:t xml:space="preserve">Ozturk Sarikaya, S.B., 2015. Acethylcholinesterase Inhibitory Potential and Antioxidant Properties of Pyrogallol, </w:t>
      </w:r>
      <w:r w:rsidRPr="007943A0">
        <w:rPr>
          <w:rFonts w:eastAsia="Times New Roman"/>
          <w:color w:val="auto"/>
          <w:u w:val="single"/>
          <w:shd w:val="clear" w:color="auto" w:fill="FFFFFF"/>
        </w:rPr>
        <w:t>Enzyme Inhibition and Medicinal Chemistry</w:t>
      </w:r>
      <w:r w:rsidRPr="007943A0">
        <w:rPr>
          <w:rFonts w:eastAsia="Times New Roman"/>
          <w:color w:val="auto"/>
          <w:shd w:val="clear" w:color="auto" w:fill="FFFFFF"/>
        </w:rPr>
        <w:t>, 30, 761–766.</w:t>
      </w:r>
    </w:p>
    <w:p w14:paraId="768DEF67"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shd w:val="clear" w:color="auto" w:fill="FFFFFF"/>
        </w:rPr>
      </w:pPr>
    </w:p>
    <w:p w14:paraId="19893828" w14:textId="77777777" w:rsidR="007943A0" w:rsidRDefault="007943A0" w:rsidP="008F2DA3">
      <w:pPr>
        <w:autoSpaceDE w:val="0"/>
        <w:autoSpaceDN w:val="0"/>
        <w:adjustRightInd w:val="0"/>
        <w:spacing w:after="0" w:line="240" w:lineRule="auto"/>
        <w:ind w:left="1096" w:hanging="1096"/>
        <w:jc w:val="both"/>
        <w:rPr>
          <w:rFonts w:eastAsia="Times New Roman"/>
          <w:color w:val="auto"/>
          <w:shd w:val="clear" w:color="auto" w:fill="FFFFFF"/>
        </w:rPr>
      </w:pPr>
      <w:r w:rsidRPr="007943A0">
        <w:rPr>
          <w:rFonts w:eastAsia="Times New Roman"/>
          <w:color w:val="auto"/>
          <w:shd w:val="clear" w:color="auto" w:fill="FFFFFF"/>
        </w:rPr>
        <w:t xml:space="preserve">Özkan, G., 2009. Comparison of Antioxidant Phenolics of Ethanolic Extracts and Aqueous Infusions from Sideritis Species, </w:t>
      </w:r>
      <w:r w:rsidRPr="007943A0">
        <w:rPr>
          <w:rFonts w:eastAsia="Times New Roman"/>
          <w:color w:val="auto"/>
          <w:u w:val="single"/>
          <w:shd w:val="clear" w:color="auto" w:fill="FFFFFF"/>
        </w:rPr>
        <w:t>Asian Journal of Chemistry</w:t>
      </w:r>
      <w:r w:rsidRPr="007943A0">
        <w:rPr>
          <w:rFonts w:eastAsia="Times New Roman"/>
          <w:color w:val="auto"/>
          <w:shd w:val="clear" w:color="auto" w:fill="FFFFFF"/>
        </w:rPr>
        <w:t>, 21, 1024-1028.</w:t>
      </w:r>
    </w:p>
    <w:p w14:paraId="3E26470B"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shd w:val="clear" w:color="auto" w:fill="FFFFFF"/>
        </w:rPr>
      </w:pPr>
    </w:p>
    <w:p w14:paraId="403C1DF0" w14:textId="77777777" w:rsidR="007943A0" w:rsidRDefault="007943A0" w:rsidP="008F2DA3">
      <w:pPr>
        <w:autoSpaceDE w:val="0"/>
        <w:autoSpaceDN w:val="0"/>
        <w:adjustRightInd w:val="0"/>
        <w:spacing w:after="0" w:line="240" w:lineRule="auto"/>
        <w:ind w:left="1096" w:hanging="1096"/>
        <w:jc w:val="both"/>
        <w:rPr>
          <w:rFonts w:ascii="Calibri" w:eastAsia="Calibri" w:hAnsi="Calibri"/>
          <w:color w:val="auto"/>
          <w:sz w:val="22"/>
          <w:szCs w:val="22"/>
          <w:lang w:val="en-US" w:eastAsia="en-US"/>
        </w:rPr>
      </w:pPr>
      <w:r w:rsidRPr="007943A0">
        <w:rPr>
          <w:rFonts w:eastAsia="Times New Roman"/>
          <w:color w:val="auto"/>
        </w:rPr>
        <w:t xml:space="preserve">Özturan Özer, E., Unsal Tan, O., Ozadali, K., Küçükkılınç, T., Balkan, A. ve Uçar, G., 2013. Synthesis, Molecular Modeling and Evaluation of Novel N'-2-(4-Benzylpiperidin-/Piperazin-1-Yl) Acylhydrazone Derivatives as Dual İnhibitors for Cholinesterases and Aβ Aggregation, </w:t>
      </w:r>
      <w:r w:rsidRPr="007943A0">
        <w:rPr>
          <w:rFonts w:eastAsia="Times New Roman"/>
          <w:color w:val="auto"/>
          <w:u w:val="single"/>
        </w:rPr>
        <w:t>Bioorganic &amp; Medicinal Chemistry Letters</w:t>
      </w:r>
      <w:r w:rsidRPr="007943A0">
        <w:rPr>
          <w:rFonts w:eastAsia="Times New Roman"/>
          <w:color w:val="auto"/>
        </w:rPr>
        <w:t>, 23, 440-3.</w:t>
      </w:r>
      <w:r w:rsidRPr="007943A0">
        <w:rPr>
          <w:rFonts w:ascii="Calibri" w:eastAsia="Calibri" w:hAnsi="Calibri"/>
          <w:color w:val="auto"/>
          <w:sz w:val="22"/>
          <w:szCs w:val="22"/>
          <w:lang w:val="en-US" w:eastAsia="en-US"/>
        </w:rPr>
        <w:t xml:space="preserve"> </w:t>
      </w:r>
    </w:p>
    <w:p w14:paraId="5D8037F4" w14:textId="77777777" w:rsidR="0086087B" w:rsidRPr="007943A0" w:rsidRDefault="0086087B" w:rsidP="008F2DA3">
      <w:pPr>
        <w:autoSpaceDE w:val="0"/>
        <w:autoSpaceDN w:val="0"/>
        <w:adjustRightInd w:val="0"/>
        <w:spacing w:after="0" w:line="240" w:lineRule="auto"/>
        <w:ind w:left="1096" w:hanging="1096"/>
        <w:jc w:val="both"/>
        <w:rPr>
          <w:rFonts w:ascii="Calibri" w:eastAsia="Calibri" w:hAnsi="Calibri"/>
          <w:color w:val="auto"/>
          <w:sz w:val="22"/>
          <w:szCs w:val="22"/>
          <w:lang w:val="en-US" w:eastAsia="en-US"/>
        </w:rPr>
      </w:pPr>
    </w:p>
    <w:p w14:paraId="5D555DFF" w14:textId="1EDD4105" w:rsidR="007943A0" w:rsidRDefault="00996A9D" w:rsidP="008F2DA3">
      <w:pPr>
        <w:autoSpaceDE w:val="0"/>
        <w:autoSpaceDN w:val="0"/>
        <w:adjustRightInd w:val="0"/>
        <w:spacing w:after="0" w:line="240" w:lineRule="auto"/>
        <w:ind w:left="1096" w:hanging="1096"/>
        <w:jc w:val="both"/>
        <w:rPr>
          <w:rFonts w:eastAsia="Calibri"/>
          <w:color w:val="auto"/>
          <w:lang w:val="en-US" w:eastAsia="en-US"/>
        </w:rPr>
      </w:pPr>
      <w:r>
        <w:rPr>
          <w:rFonts w:eastAsia="Calibri"/>
          <w:color w:val="auto"/>
          <w:lang w:val="en-US" w:eastAsia="en-US"/>
        </w:rPr>
        <w:t xml:space="preserve">Pandey P. ve </w:t>
      </w:r>
      <w:r w:rsidR="007943A0" w:rsidRPr="007943A0">
        <w:rPr>
          <w:rFonts w:eastAsia="Calibri"/>
          <w:color w:val="auto"/>
          <w:lang w:val="en-US" w:eastAsia="en-US"/>
        </w:rPr>
        <w:t xml:space="preserve">Chawla P. 2012. Syntheses, Characterızatıon and Bıologıcal Activity Of Novel 2,6-Di Substituted Piperidine-4-One Derivatives. </w:t>
      </w:r>
      <w:r w:rsidR="007943A0" w:rsidRPr="007943A0">
        <w:rPr>
          <w:rFonts w:eastAsia="Calibri"/>
          <w:color w:val="auto"/>
          <w:u w:val="single"/>
          <w:lang w:val="en-US" w:eastAsia="en-US"/>
        </w:rPr>
        <w:t>Internatıonal Journal of Pharmaceutical, Chemical and Biological Sciences</w:t>
      </w:r>
      <w:r w:rsidR="007943A0" w:rsidRPr="007943A0">
        <w:rPr>
          <w:rFonts w:eastAsia="Calibri"/>
          <w:color w:val="auto"/>
          <w:lang w:val="en-US" w:eastAsia="en-US"/>
        </w:rPr>
        <w:t>, 2, 305-309.</w:t>
      </w:r>
    </w:p>
    <w:p w14:paraId="1AEF6602" w14:textId="77777777" w:rsidR="0086087B" w:rsidRPr="007943A0" w:rsidRDefault="0086087B" w:rsidP="008F2DA3">
      <w:pPr>
        <w:autoSpaceDE w:val="0"/>
        <w:autoSpaceDN w:val="0"/>
        <w:adjustRightInd w:val="0"/>
        <w:spacing w:after="0" w:line="240" w:lineRule="auto"/>
        <w:ind w:left="1096" w:hanging="1096"/>
        <w:jc w:val="both"/>
        <w:rPr>
          <w:rFonts w:eastAsia="Calibri"/>
          <w:color w:val="auto"/>
          <w:lang w:val="en-US" w:eastAsia="en-US"/>
        </w:rPr>
      </w:pPr>
    </w:p>
    <w:p w14:paraId="2F03E95D" w14:textId="77777777" w:rsidR="007943A0" w:rsidRDefault="007943A0" w:rsidP="008F2DA3">
      <w:pPr>
        <w:autoSpaceDE w:val="0"/>
        <w:autoSpaceDN w:val="0"/>
        <w:adjustRightInd w:val="0"/>
        <w:spacing w:after="0" w:line="240" w:lineRule="auto"/>
        <w:ind w:left="1096" w:hanging="1096"/>
        <w:jc w:val="both"/>
        <w:rPr>
          <w:rFonts w:eastAsia="Calibri"/>
          <w:color w:val="auto"/>
          <w:lang w:val="en-US" w:eastAsia="en-US"/>
        </w:rPr>
      </w:pPr>
      <w:r w:rsidRPr="007943A0">
        <w:rPr>
          <w:rFonts w:eastAsia="Calibri"/>
          <w:color w:val="auto"/>
          <w:lang w:val="en-US" w:eastAsia="en-US"/>
        </w:rPr>
        <w:t xml:space="preserve">Parlar, S., 2019. Synthesis and cholinesterase inhibitory activity studies of some piperidinone derivatives, </w:t>
      </w:r>
      <w:r w:rsidRPr="007943A0">
        <w:rPr>
          <w:rFonts w:eastAsia="Calibri"/>
          <w:color w:val="auto"/>
          <w:u w:val="single"/>
          <w:lang w:val="en-US" w:eastAsia="en-US"/>
        </w:rPr>
        <w:t>Organic Communications</w:t>
      </w:r>
      <w:r w:rsidRPr="007943A0">
        <w:rPr>
          <w:rFonts w:eastAsia="Calibri"/>
          <w:color w:val="auto"/>
          <w:lang w:val="en-US" w:eastAsia="en-US"/>
        </w:rPr>
        <w:t>, 12, 202-209.</w:t>
      </w:r>
    </w:p>
    <w:p w14:paraId="6D291073" w14:textId="77777777" w:rsidR="0086087B" w:rsidRPr="007943A0" w:rsidRDefault="0086087B" w:rsidP="008F2DA3">
      <w:pPr>
        <w:autoSpaceDE w:val="0"/>
        <w:autoSpaceDN w:val="0"/>
        <w:adjustRightInd w:val="0"/>
        <w:spacing w:after="0" w:line="240" w:lineRule="auto"/>
        <w:ind w:left="1096" w:hanging="1096"/>
        <w:jc w:val="both"/>
        <w:rPr>
          <w:rFonts w:eastAsia="Calibri"/>
          <w:color w:val="auto"/>
          <w:lang w:val="en-US" w:eastAsia="en-US"/>
        </w:rPr>
      </w:pPr>
    </w:p>
    <w:p w14:paraId="441C5393" w14:textId="0C8B153C" w:rsidR="007943A0" w:rsidRDefault="007943A0" w:rsidP="008F2DA3">
      <w:pPr>
        <w:autoSpaceDE w:val="0"/>
        <w:autoSpaceDN w:val="0"/>
        <w:adjustRightInd w:val="0"/>
        <w:spacing w:after="0" w:line="240" w:lineRule="auto"/>
        <w:ind w:left="1096" w:hanging="1096"/>
        <w:jc w:val="both"/>
        <w:rPr>
          <w:rFonts w:eastAsia="Calibri"/>
          <w:color w:val="auto"/>
          <w:lang w:val="en-US" w:eastAsia="en-US"/>
        </w:rPr>
      </w:pPr>
      <w:r w:rsidRPr="007943A0">
        <w:rPr>
          <w:rFonts w:eastAsia="Calibri"/>
          <w:color w:val="auto"/>
          <w:lang w:val="en-US" w:eastAsia="en-US"/>
        </w:rPr>
        <w:t>Rafiq K., Saify Z.S.,</w:t>
      </w:r>
      <w:r w:rsidR="00996A9D">
        <w:rPr>
          <w:rFonts w:eastAsia="Calibri"/>
          <w:color w:val="auto"/>
          <w:lang w:val="en-US" w:eastAsia="en-US"/>
        </w:rPr>
        <w:t xml:space="preserve"> Vaid F., Khan S., Akhtar F. ve</w:t>
      </w:r>
      <w:r w:rsidRPr="007943A0">
        <w:rPr>
          <w:rFonts w:eastAsia="Calibri"/>
          <w:color w:val="auto"/>
          <w:lang w:val="en-US" w:eastAsia="en-US"/>
        </w:rPr>
        <w:t xml:space="preserve"> Kausar R, 2013. Synthesis with Antibacterial and Antifungal Screening of 4-Hydroxy-4- Phenyl Piperidine Derivatives, </w:t>
      </w:r>
      <w:r w:rsidRPr="007943A0">
        <w:rPr>
          <w:rFonts w:eastAsia="Calibri"/>
          <w:color w:val="auto"/>
          <w:u w:val="single"/>
          <w:lang w:val="en-US" w:eastAsia="en-US"/>
        </w:rPr>
        <w:t>British Biomedical Bulletin</w:t>
      </w:r>
      <w:r w:rsidRPr="007943A0">
        <w:rPr>
          <w:rFonts w:eastAsia="Calibri"/>
          <w:color w:val="auto"/>
          <w:lang w:val="en-US" w:eastAsia="en-US"/>
        </w:rPr>
        <w:t xml:space="preserve"> 1, 064-067.</w:t>
      </w:r>
    </w:p>
    <w:p w14:paraId="5B68EEAE" w14:textId="77777777" w:rsidR="0086087B" w:rsidRPr="007943A0" w:rsidRDefault="0086087B" w:rsidP="008F2DA3">
      <w:pPr>
        <w:autoSpaceDE w:val="0"/>
        <w:autoSpaceDN w:val="0"/>
        <w:adjustRightInd w:val="0"/>
        <w:spacing w:after="0" w:line="240" w:lineRule="auto"/>
        <w:ind w:left="1096" w:hanging="1096"/>
        <w:jc w:val="both"/>
        <w:rPr>
          <w:rFonts w:eastAsia="Calibri"/>
          <w:color w:val="auto"/>
          <w:lang w:val="en-US" w:eastAsia="en-US"/>
        </w:rPr>
      </w:pPr>
    </w:p>
    <w:p w14:paraId="0DBF107D" w14:textId="1A52F85F" w:rsidR="007943A0" w:rsidRDefault="00996A9D" w:rsidP="008F2DA3">
      <w:pPr>
        <w:autoSpaceDE w:val="0"/>
        <w:autoSpaceDN w:val="0"/>
        <w:adjustRightInd w:val="0"/>
        <w:spacing w:after="0" w:line="240" w:lineRule="auto"/>
        <w:ind w:left="1096" w:hanging="1096"/>
        <w:jc w:val="both"/>
        <w:rPr>
          <w:rFonts w:eastAsia="Calibri"/>
          <w:color w:val="auto"/>
          <w:lang w:val="en-US" w:eastAsia="en-US"/>
        </w:rPr>
      </w:pPr>
      <w:r>
        <w:rPr>
          <w:rFonts w:eastAsia="Calibri"/>
          <w:color w:val="auto"/>
          <w:lang w:val="en-US" w:eastAsia="en-US"/>
        </w:rPr>
        <w:t xml:space="preserve">Ravindernath A. ve </w:t>
      </w:r>
      <w:r w:rsidR="007943A0" w:rsidRPr="007943A0">
        <w:rPr>
          <w:rFonts w:eastAsia="Calibri"/>
          <w:color w:val="auto"/>
          <w:lang w:val="en-US" w:eastAsia="en-US"/>
        </w:rPr>
        <w:t xml:space="preserve">Reddy M.S., 2013. Synthesis and evaluation of antiinflammatory, antioxidant and antimicrobial activities of densely functionalized novel benzo [d] imidazolyl tetrahydropyridine carboxylates, </w:t>
      </w:r>
      <w:r w:rsidR="007943A0" w:rsidRPr="007943A0">
        <w:rPr>
          <w:rFonts w:eastAsia="Calibri"/>
          <w:color w:val="auto"/>
          <w:u w:val="single"/>
          <w:lang w:val="en-US" w:eastAsia="en-US"/>
        </w:rPr>
        <w:t>Arabian Journal of Chemistry</w:t>
      </w:r>
      <w:r w:rsidR="007943A0" w:rsidRPr="007943A0">
        <w:rPr>
          <w:rFonts w:eastAsia="Calibri"/>
          <w:color w:val="auto"/>
          <w:lang w:val="en-US" w:eastAsia="en-US"/>
        </w:rPr>
        <w:t>, 1-8.</w:t>
      </w:r>
    </w:p>
    <w:p w14:paraId="6399806C" w14:textId="77777777" w:rsidR="0086087B" w:rsidRPr="007943A0" w:rsidRDefault="0086087B" w:rsidP="008F2DA3">
      <w:pPr>
        <w:autoSpaceDE w:val="0"/>
        <w:autoSpaceDN w:val="0"/>
        <w:adjustRightInd w:val="0"/>
        <w:spacing w:after="0" w:line="240" w:lineRule="auto"/>
        <w:ind w:left="1096" w:hanging="1096"/>
        <w:jc w:val="both"/>
        <w:rPr>
          <w:rFonts w:eastAsia="Calibri"/>
          <w:color w:val="auto"/>
          <w:lang w:val="en-US" w:eastAsia="en-US"/>
        </w:rPr>
      </w:pPr>
    </w:p>
    <w:p w14:paraId="75E835F7" w14:textId="77777777" w:rsidR="007943A0" w:rsidRPr="007943A0" w:rsidRDefault="007943A0" w:rsidP="008F2DA3">
      <w:pPr>
        <w:autoSpaceDE w:val="0"/>
        <w:autoSpaceDN w:val="0"/>
        <w:adjustRightInd w:val="0"/>
        <w:spacing w:after="0" w:line="240" w:lineRule="auto"/>
        <w:ind w:left="1096" w:hanging="1096"/>
        <w:jc w:val="both"/>
        <w:rPr>
          <w:rFonts w:eastAsia="Calibri"/>
          <w:color w:val="auto"/>
          <w:lang w:val="en-US" w:eastAsia="en-US"/>
        </w:rPr>
      </w:pPr>
      <w:r w:rsidRPr="007943A0">
        <w:rPr>
          <w:rFonts w:eastAsia="Calibri"/>
          <w:color w:val="auto"/>
          <w:lang w:val="en-US" w:eastAsia="en-US"/>
        </w:rPr>
        <w:lastRenderedPageBreak/>
        <w:t>Raves, M.L., Harel, M., Pang, Y.P., Silman, I., Kozikowski A.P. ve Sussman, JL., 1997. Structure of acetylcholinesterase complexed with the nootropic alkaloid, (–) huperzine A, New York USA,  Nature Structural &amp; Molecular Biology, 4, 57–63.</w:t>
      </w:r>
    </w:p>
    <w:p w14:paraId="686B4B86" w14:textId="094824CB" w:rsidR="007943A0" w:rsidRDefault="007943A0" w:rsidP="008F2DA3">
      <w:pPr>
        <w:autoSpaceDE w:val="0"/>
        <w:autoSpaceDN w:val="0"/>
        <w:adjustRightInd w:val="0"/>
        <w:spacing w:after="0" w:line="240" w:lineRule="auto"/>
        <w:ind w:left="1096" w:hanging="1096"/>
        <w:jc w:val="both"/>
        <w:rPr>
          <w:rFonts w:eastAsia="Calibri"/>
          <w:color w:val="auto"/>
          <w:lang w:val="en-US" w:eastAsia="en-US"/>
        </w:rPr>
      </w:pPr>
      <w:r w:rsidRPr="007943A0">
        <w:rPr>
          <w:rFonts w:eastAsia="Calibri"/>
          <w:color w:val="auto"/>
          <w:lang w:val="en-US" w:eastAsia="en-US"/>
        </w:rPr>
        <w:t>Rehman, A., Ahtzaz, S., Abbası, M.A., Sıddıquı, S.</w:t>
      </w:r>
      <w:r w:rsidR="00E97628">
        <w:rPr>
          <w:rFonts w:eastAsia="Calibri"/>
          <w:color w:val="auto"/>
          <w:lang w:val="en-US" w:eastAsia="en-US"/>
        </w:rPr>
        <w:t>Z.,Rasool, S. ve</w:t>
      </w:r>
      <w:r w:rsidRPr="007943A0">
        <w:rPr>
          <w:rFonts w:eastAsia="Calibri"/>
          <w:color w:val="auto"/>
          <w:lang w:val="en-US" w:eastAsia="en-US"/>
        </w:rPr>
        <w:t xml:space="preserve"> Ahmad, I., 2017. Synthesıs, Spectral Analysıs And Antıbacterıal Evaluatıon Of 5-Substıtuted-1,3,4-Oxadıazol-2-Yl4-(4-Methylpıperıdın-1 Ylsulfonyl) Benzyl Sulfıdes. </w:t>
      </w:r>
      <w:r w:rsidRPr="007943A0">
        <w:rPr>
          <w:rFonts w:eastAsia="Calibri"/>
          <w:color w:val="auto"/>
          <w:u w:val="single"/>
          <w:lang w:val="en-US" w:eastAsia="en-US"/>
        </w:rPr>
        <w:t>Journal of the Chilean Chemical Society</w:t>
      </w:r>
      <w:r w:rsidRPr="007943A0">
        <w:rPr>
          <w:rFonts w:eastAsia="Calibri"/>
          <w:color w:val="auto"/>
          <w:lang w:val="en-US" w:eastAsia="en-US"/>
        </w:rPr>
        <w:t>, 62, 3370-3375.</w:t>
      </w:r>
    </w:p>
    <w:p w14:paraId="12E088B4" w14:textId="77777777" w:rsidR="0086087B" w:rsidRPr="007943A0" w:rsidRDefault="0086087B" w:rsidP="008F2DA3">
      <w:pPr>
        <w:autoSpaceDE w:val="0"/>
        <w:autoSpaceDN w:val="0"/>
        <w:adjustRightInd w:val="0"/>
        <w:spacing w:after="0" w:line="240" w:lineRule="auto"/>
        <w:ind w:left="1096" w:hanging="1096"/>
        <w:jc w:val="both"/>
        <w:rPr>
          <w:rFonts w:eastAsia="Calibri"/>
          <w:color w:val="auto"/>
          <w:lang w:val="en-US" w:eastAsia="en-US"/>
        </w:rPr>
      </w:pPr>
    </w:p>
    <w:p w14:paraId="773D4B30" w14:textId="37F884DC"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Reyes, F. J., Vargas, R., Kumar, </w:t>
      </w:r>
      <w:r w:rsidR="00E97628">
        <w:rPr>
          <w:rFonts w:eastAsia="Times New Roman"/>
          <w:color w:val="auto"/>
        </w:rPr>
        <w:t xml:space="preserve">D., Cullen, I. E., Perdoma, C. ve </w:t>
      </w:r>
      <w:r w:rsidRPr="007943A0">
        <w:rPr>
          <w:rFonts w:eastAsia="Times New Roman"/>
          <w:color w:val="auto"/>
        </w:rPr>
        <w:t xml:space="preserve">Pratt, R.D., 2004. Stead-State Pharmacokinetics, Pharmacodynamics and Tolerability of Donapezil Hydrochloride in Hepatically Impaired Patients with, </w:t>
      </w:r>
      <w:r w:rsidRPr="007943A0">
        <w:rPr>
          <w:rFonts w:eastAsia="Times New Roman"/>
          <w:color w:val="auto"/>
          <w:u w:val="single"/>
        </w:rPr>
        <w:t>British Journal of Clinical Pharmacology</w:t>
      </w:r>
      <w:r w:rsidR="00FB3605">
        <w:rPr>
          <w:rFonts w:eastAsia="Times New Roman"/>
          <w:color w:val="auto"/>
        </w:rPr>
        <w:t>, 58,</w:t>
      </w:r>
      <w:r w:rsidRPr="007943A0">
        <w:rPr>
          <w:rFonts w:eastAsia="Times New Roman"/>
          <w:color w:val="auto"/>
        </w:rPr>
        <w:t xml:space="preserve"> 9-17.</w:t>
      </w:r>
    </w:p>
    <w:p w14:paraId="4AE91038"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057A65C7" w14:textId="2C270105"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Robinson, K., 2015. Enzymes : Principles and Biotechnological Applications, </w:t>
      </w:r>
      <w:r w:rsidRPr="007943A0">
        <w:rPr>
          <w:rFonts w:eastAsia="Times New Roman"/>
          <w:color w:val="auto"/>
          <w:shd w:val="clear" w:color="auto" w:fill="FFFFFF"/>
        </w:rPr>
        <w:t>Great Britain,</w:t>
      </w:r>
      <w:r w:rsidRPr="007943A0">
        <w:rPr>
          <w:rFonts w:eastAsia="Times New Roman"/>
          <w:color w:val="auto"/>
        </w:rPr>
        <w:t xml:space="preserve"> </w:t>
      </w:r>
      <w:r w:rsidRPr="007943A0">
        <w:rPr>
          <w:rFonts w:eastAsia="Times New Roman"/>
          <w:color w:val="auto"/>
          <w:u w:val="single"/>
        </w:rPr>
        <w:t>Essays in Biochemistry</w:t>
      </w:r>
      <w:r w:rsidR="00FB3605">
        <w:rPr>
          <w:rFonts w:eastAsia="Times New Roman"/>
          <w:color w:val="auto"/>
        </w:rPr>
        <w:t>, 59,1-</w:t>
      </w:r>
      <w:r w:rsidRPr="007943A0">
        <w:rPr>
          <w:rFonts w:eastAsia="Times New Roman"/>
          <w:color w:val="auto"/>
        </w:rPr>
        <w:t>41.</w:t>
      </w:r>
    </w:p>
    <w:p w14:paraId="6A202256"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439F4827" w14:textId="2333EF48" w:rsidR="007943A0" w:rsidRDefault="00E97628" w:rsidP="008F2DA3">
      <w:pPr>
        <w:autoSpaceDE w:val="0"/>
        <w:autoSpaceDN w:val="0"/>
        <w:adjustRightInd w:val="0"/>
        <w:spacing w:after="0" w:line="240" w:lineRule="auto"/>
        <w:ind w:left="1096" w:hanging="1096"/>
        <w:jc w:val="both"/>
        <w:rPr>
          <w:rFonts w:eastAsia="Times New Roman"/>
          <w:color w:val="auto"/>
        </w:rPr>
      </w:pPr>
      <w:r>
        <w:rPr>
          <w:rFonts w:eastAsia="Times New Roman"/>
          <w:color w:val="auto"/>
        </w:rPr>
        <w:t xml:space="preserve">Rodrigues Simões, </w:t>
      </w:r>
      <w:r w:rsidR="007943A0" w:rsidRPr="007943A0">
        <w:rPr>
          <w:rFonts w:eastAsia="Times New Roman"/>
          <w:color w:val="auto"/>
        </w:rPr>
        <w:t xml:space="preserve">M.C., 2014. Donepezil: an important prototype to the design of new drug candidates for Alzheimer's disease, Brazil, </w:t>
      </w:r>
      <w:r w:rsidR="007943A0" w:rsidRPr="007943A0">
        <w:rPr>
          <w:rFonts w:eastAsia="Times New Roman"/>
          <w:iCs/>
          <w:color w:val="auto"/>
          <w:u w:val="single"/>
        </w:rPr>
        <w:t>Mini-Reviews in Medicinal Chemistry</w:t>
      </w:r>
      <w:r w:rsidR="00FB3605">
        <w:rPr>
          <w:rFonts w:eastAsia="Times New Roman"/>
          <w:color w:val="auto"/>
        </w:rPr>
        <w:t xml:space="preserve">, 14, </w:t>
      </w:r>
      <w:r w:rsidR="007943A0" w:rsidRPr="007943A0">
        <w:rPr>
          <w:rFonts w:eastAsia="Times New Roman"/>
          <w:color w:val="auto"/>
        </w:rPr>
        <w:t>2-19.</w:t>
      </w:r>
    </w:p>
    <w:p w14:paraId="6DD22FF4"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509FD73C"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Rodrıguez-Franco, M.I., Fernandez-Bachiller, M.I., Perez, C., Castro, A., Martınez, A. 2005. Design and synthesis of N-benzylpiperidine–purine derivatives as new dual inhibitors of acetyl- and butyrylcholinesterase, </w:t>
      </w:r>
      <w:r w:rsidRPr="007943A0">
        <w:rPr>
          <w:rFonts w:eastAsia="Times New Roman"/>
          <w:color w:val="auto"/>
          <w:u w:val="single"/>
        </w:rPr>
        <w:t>Bioorganic &amp; Medicinal Chemistry</w:t>
      </w:r>
      <w:r w:rsidRPr="007943A0">
        <w:rPr>
          <w:rFonts w:eastAsia="Times New Roman"/>
          <w:color w:val="auto"/>
        </w:rPr>
        <w:t xml:space="preserve"> 13, 6795–6802.</w:t>
      </w:r>
    </w:p>
    <w:p w14:paraId="3386A75E"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1F10F530"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Sharma, J., Ramanathan, K. ve Sethumadhavan, R.</w:t>
      </w:r>
      <w:r w:rsidRPr="007943A0">
        <w:rPr>
          <w:rFonts w:eastAsia="Times New Roman"/>
          <w:b/>
          <w:bCs/>
          <w:color w:val="auto"/>
        </w:rPr>
        <w:t xml:space="preserve"> </w:t>
      </w:r>
      <w:r w:rsidRPr="007943A0">
        <w:rPr>
          <w:rFonts w:eastAsia="Times New Roman"/>
          <w:bCs/>
          <w:color w:val="auto"/>
        </w:rPr>
        <w:t>2011</w:t>
      </w:r>
      <w:r w:rsidRPr="007943A0">
        <w:rPr>
          <w:rFonts w:eastAsia="Times New Roman"/>
          <w:bCs/>
          <w:iCs/>
          <w:color w:val="auto"/>
        </w:rPr>
        <w:t>.</w:t>
      </w:r>
      <w:r w:rsidRPr="007943A0">
        <w:rPr>
          <w:rFonts w:eastAsia="Times New Roman"/>
          <w:b/>
          <w:bCs/>
          <w:iCs/>
          <w:color w:val="auto"/>
        </w:rPr>
        <w:t xml:space="preserve"> </w:t>
      </w:r>
      <w:r w:rsidRPr="007943A0">
        <w:rPr>
          <w:rFonts w:eastAsia="Times New Roman"/>
          <w:color w:val="auto"/>
        </w:rPr>
        <w:t xml:space="preserve">Identification of Potential Inhibitors Against Acetylcholinesterase Associated With Alzheimer's Diseases: A Molecular Docking Approach, </w:t>
      </w:r>
      <w:r w:rsidRPr="007943A0">
        <w:rPr>
          <w:rFonts w:eastAsia="Times New Roman"/>
          <w:iCs/>
          <w:color w:val="auto"/>
        </w:rPr>
        <w:t xml:space="preserve">India, </w:t>
      </w:r>
      <w:r w:rsidRPr="007943A0">
        <w:rPr>
          <w:rFonts w:eastAsia="Times New Roman"/>
          <w:iCs/>
          <w:color w:val="auto"/>
          <w:u w:val="single"/>
        </w:rPr>
        <w:t>Journal of Computational Methods in Molecular Design</w:t>
      </w:r>
      <w:r w:rsidRPr="007943A0">
        <w:rPr>
          <w:rFonts w:eastAsia="Times New Roman"/>
          <w:iCs/>
          <w:color w:val="auto"/>
        </w:rPr>
        <w:t xml:space="preserve">, </w:t>
      </w:r>
      <w:r w:rsidRPr="007943A0">
        <w:rPr>
          <w:rFonts w:eastAsia="Times New Roman"/>
          <w:color w:val="auto"/>
        </w:rPr>
        <w:t xml:space="preserve">1, 44-51. </w:t>
      </w:r>
    </w:p>
    <w:p w14:paraId="4FCF8136"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689AE47D" w14:textId="3716618F"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Shidore M., Machhi, J., Shingala, K., Murumkar, P., Sharma, M.K., Agrawal, N.,  Tripathi, A.,  Parikh, Z.,  Pillai, P. ve Yadav, M.R., 2016. Benzylpiperidine-linked Diarylthiazoles as Potential Anti-alzheimer’s Agents: Synthesis and Biological Evaluation, </w:t>
      </w:r>
      <w:r w:rsidRPr="00FB3605">
        <w:rPr>
          <w:rFonts w:eastAsia="Times New Roman"/>
          <w:color w:val="auto"/>
          <w:u w:val="single"/>
        </w:rPr>
        <w:t>Journal of Medicinal Chemistry</w:t>
      </w:r>
      <w:r w:rsidR="00FB3605">
        <w:rPr>
          <w:rFonts w:eastAsia="Times New Roman"/>
          <w:color w:val="auto"/>
        </w:rPr>
        <w:t>, 59, 5823–5846</w:t>
      </w:r>
      <w:r w:rsidRPr="007943A0">
        <w:rPr>
          <w:rFonts w:eastAsia="Times New Roman"/>
          <w:color w:val="auto"/>
        </w:rPr>
        <w:t>.</w:t>
      </w:r>
    </w:p>
    <w:p w14:paraId="669CDA11"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193C7624" w14:textId="77777777" w:rsidR="007943A0" w:rsidRDefault="007943A0" w:rsidP="008F2DA3">
      <w:pPr>
        <w:autoSpaceDE w:val="0"/>
        <w:autoSpaceDN w:val="0"/>
        <w:adjustRightInd w:val="0"/>
        <w:spacing w:after="0" w:line="240" w:lineRule="auto"/>
        <w:ind w:left="1096" w:hanging="1096"/>
        <w:jc w:val="both"/>
        <w:rPr>
          <w:rFonts w:ascii="Calibri" w:eastAsia="Calibri" w:hAnsi="Calibri"/>
          <w:color w:val="auto"/>
          <w:sz w:val="22"/>
          <w:szCs w:val="22"/>
          <w:lang w:val="en-US" w:eastAsia="en-US"/>
        </w:rPr>
      </w:pPr>
      <w:r w:rsidRPr="007943A0">
        <w:rPr>
          <w:rFonts w:eastAsia="Times New Roman"/>
          <w:color w:val="auto"/>
        </w:rPr>
        <w:t>Silverman, R.B, 2002. The Organic Chemistry of Enzyme-Catalyzed Reactions. Academic Press, San Diego,  800p.</w:t>
      </w:r>
      <w:r w:rsidRPr="007943A0">
        <w:rPr>
          <w:rFonts w:ascii="Calibri" w:eastAsia="Calibri" w:hAnsi="Calibri"/>
          <w:color w:val="auto"/>
          <w:sz w:val="22"/>
          <w:szCs w:val="22"/>
          <w:lang w:val="en-US" w:eastAsia="en-US"/>
        </w:rPr>
        <w:t xml:space="preserve"> </w:t>
      </w:r>
    </w:p>
    <w:p w14:paraId="2A66BC22" w14:textId="77777777" w:rsidR="0086087B" w:rsidRPr="007943A0" w:rsidRDefault="0086087B" w:rsidP="008F2DA3">
      <w:pPr>
        <w:autoSpaceDE w:val="0"/>
        <w:autoSpaceDN w:val="0"/>
        <w:adjustRightInd w:val="0"/>
        <w:spacing w:after="0" w:line="240" w:lineRule="auto"/>
        <w:ind w:left="1096" w:hanging="1096"/>
        <w:jc w:val="both"/>
        <w:rPr>
          <w:rFonts w:ascii="Calibri" w:eastAsia="Calibri" w:hAnsi="Calibri"/>
          <w:color w:val="auto"/>
          <w:sz w:val="22"/>
          <w:szCs w:val="22"/>
          <w:lang w:val="en-US" w:eastAsia="en-US"/>
        </w:rPr>
      </w:pPr>
    </w:p>
    <w:p w14:paraId="3F8CF7AE" w14:textId="64D43E42" w:rsidR="007943A0" w:rsidRP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Sugimoto, H., Ogura, H., Arai, Y.,</w:t>
      </w:r>
      <w:r w:rsidR="00E97628">
        <w:rPr>
          <w:rFonts w:eastAsia="Times New Roman"/>
          <w:color w:val="auto"/>
        </w:rPr>
        <w:t xml:space="preserve"> Limura, Y. ve </w:t>
      </w:r>
      <w:r w:rsidRPr="007943A0">
        <w:rPr>
          <w:rFonts w:eastAsia="Times New Roman"/>
          <w:color w:val="auto"/>
        </w:rPr>
        <w:t xml:space="preserve">Yamanishi, Y., 2002. Research and Development of Donapezil Hydrochloride, A new type of Acetylcholinesterase Inhibitor: New Drug and Recent Technique Review, </w:t>
      </w:r>
      <w:r w:rsidRPr="007943A0">
        <w:rPr>
          <w:rFonts w:eastAsia="Times New Roman"/>
          <w:color w:val="auto"/>
          <w:u w:val="single"/>
        </w:rPr>
        <w:t>The Japanese Journal of Pharmacology</w:t>
      </w:r>
      <w:r w:rsidR="00FB3605">
        <w:rPr>
          <w:rFonts w:eastAsia="Times New Roman"/>
          <w:color w:val="auto"/>
        </w:rPr>
        <w:t>, 89,</w:t>
      </w:r>
      <w:r w:rsidRPr="007943A0">
        <w:rPr>
          <w:rFonts w:eastAsia="Times New Roman"/>
          <w:color w:val="auto"/>
        </w:rPr>
        <w:t xml:space="preserve"> 7-20.</w:t>
      </w:r>
    </w:p>
    <w:p w14:paraId="1E069552"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Suarez, D., Diaz, N., Fontecilla-Camps, J. ve Field, M.J., 2006. A Computational Study of the Deacylation Mechanism of Human Butyrylcholinesterase, </w:t>
      </w:r>
      <w:r w:rsidRPr="007943A0">
        <w:rPr>
          <w:rFonts w:eastAsia="Times New Roman"/>
          <w:color w:val="auto"/>
          <w:u w:val="single"/>
        </w:rPr>
        <w:t>Biochemistry</w:t>
      </w:r>
      <w:r w:rsidRPr="007943A0">
        <w:rPr>
          <w:rFonts w:eastAsia="Times New Roman"/>
          <w:color w:val="auto"/>
        </w:rPr>
        <w:t>, 45, 7529-7543.</w:t>
      </w:r>
    </w:p>
    <w:p w14:paraId="424C24CA"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7D9B2CB9"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lastRenderedPageBreak/>
        <w:t xml:space="preserve">Sumner, J.B., 1926. The Isolation and Crystallization of the Enzyme Urease, lthaca, </w:t>
      </w:r>
      <w:r w:rsidRPr="007943A0">
        <w:rPr>
          <w:rFonts w:eastAsia="Times New Roman"/>
          <w:color w:val="auto"/>
          <w:u w:val="single"/>
        </w:rPr>
        <w:t xml:space="preserve"> Journal of Biological Chemistry</w:t>
      </w:r>
      <w:r w:rsidRPr="007943A0">
        <w:rPr>
          <w:rFonts w:eastAsia="Times New Roman"/>
          <w:color w:val="auto"/>
        </w:rPr>
        <w:t>, 69, 435-441.</w:t>
      </w:r>
    </w:p>
    <w:p w14:paraId="7E2C3B50"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450FAF6A" w14:textId="6F7029F6" w:rsidR="007943A0" w:rsidRDefault="00E97628" w:rsidP="008F2DA3">
      <w:pPr>
        <w:autoSpaceDE w:val="0"/>
        <w:autoSpaceDN w:val="0"/>
        <w:adjustRightInd w:val="0"/>
        <w:spacing w:after="0" w:line="240" w:lineRule="auto"/>
        <w:ind w:left="1096" w:hanging="1096"/>
        <w:jc w:val="both"/>
        <w:rPr>
          <w:rFonts w:eastAsia="Times New Roman"/>
          <w:color w:val="auto"/>
        </w:rPr>
      </w:pPr>
      <w:r>
        <w:rPr>
          <w:rFonts w:eastAsia="Times New Roman"/>
          <w:color w:val="auto"/>
        </w:rPr>
        <w:t>Silman, I. ve</w:t>
      </w:r>
      <w:r w:rsidR="007943A0" w:rsidRPr="007943A0">
        <w:rPr>
          <w:rFonts w:eastAsia="Times New Roman"/>
          <w:color w:val="auto"/>
        </w:rPr>
        <w:t xml:space="preserve"> Sussman J.L., 2005. Acetylcholinesterase: 'classical' and 'non-classical' functions and pharmacology, </w:t>
      </w:r>
      <w:r w:rsidR="007943A0" w:rsidRPr="00FB3605">
        <w:rPr>
          <w:rFonts w:eastAsia="Times New Roman"/>
          <w:color w:val="auto"/>
          <w:u w:val="single"/>
        </w:rPr>
        <w:t>Current Opinion in Pharmacology</w:t>
      </w:r>
      <w:r w:rsidR="007943A0" w:rsidRPr="007943A0">
        <w:rPr>
          <w:rFonts w:eastAsia="Times New Roman"/>
          <w:color w:val="auto"/>
        </w:rPr>
        <w:t>, 5, 293-302.</w:t>
      </w:r>
    </w:p>
    <w:p w14:paraId="01EC556A"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05C9593E" w14:textId="3D6550EE" w:rsidR="007943A0" w:rsidRDefault="00E97628" w:rsidP="008F2DA3">
      <w:pPr>
        <w:autoSpaceDE w:val="0"/>
        <w:autoSpaceDN w:val="0"/>
        <w:adjustRightInd w:val="0"/>
        <w:spacing w:after="0" w:line="240" w:lineRule="auto"/>
        <w:ind w:left="1096" w:hanging="1096"/>
        <w:jc w:val="both"/>
        <w:rPr>
          <w:rFonts w:eastAsia="Times New Roman"/>
          <w:color w:val="auto"/>
        </w:rPr>
      </w:pPr>
      <w:r>
        <w:rPr>
          <w:rFonts w:eastAsia="Times New Roman"/>
          <w:color w:val="auto"/>
        </w:rPr>
        <w:t>Tang, X.C. ve</w:t>
      </w:r>
      <w:r w:rsidR="007943A0" w:rsidRPr="007943A0">
        <w:rPr>
          <w:rFonts w:eastAsia="Times New Roman"/>
          <w:color w:val="auto"/>
        </w:rPr>
        <w:t xml:space="preserve"> Han, Y.F., 1999. Huperzine A: a Novel Acetylcholinesterase İnhibitör, Chinese,</w:t>
      </w:r>
      <w:r w:rsidR="00E271E5">
        <w:rPr>
          <w:rFonts w:eastAsia="Times New Roman"/>
          <w:color w:val="auto"/>
          <w:u w:val="single"/>
        </w:rPr>
        <w:t xml:space="preserve"> CNS </w:t>
      </w:r>
      <w:r w:rsidR="007943A0" w:rsidRPr="007943A0">
        <w:rPr>
          <w:rFonts w:eastAsia="Times New Roman"/>
          <w:color w:val="auto"/>
          <w:u w:val="single"/>
        </w:rPr>
        <w:t>Drug Reviews</w:t>
      </w:r>
      <w:r w:rsidR="00FB3605">
        <w:rPr>
          <w:rFonts w:eastAsia="Times New Roman"/>
          <w:color w:val="auto"/>
          <w:u w:val="single"/>
        </w:rPr>
        <w:t>,</w:t>
      </w:r>
      <w:r w:rsidR="007943A0" w:rsidRPr="007943A0">
        <w:rPr>
          <w:rFonts w:eastAsia="Times New Roman"/>
          <w:color w:val="auto"/>
        </w:rPr>
        <w:t xml:space="preserve"> 5, 281-300.</w:t>
      </w:r>
    </w:p>
    <w:p w14:paraId="629585F8" w14:textId="77777777" w:rsidR="0086087B" w:rsidRDefault="0086087B" w:rsidP="008F2DA3">
      <w:pPr>
        <w:autoSpaceDE w:val="0"/>
        <w:autoSpaceDN w:val="0"/>
        <w:adjustRightInd w:val="0"/>
        <w:spacing w:after="0" w:line="240" w:lineRule="auto"/>
        <w:ind w:left="1096" w:hanging="1096"/>
        <w:jc w:val="both"/>
        <w:rPr>
          <w:rFonts w:eastAsia="Times New Roman"/>
          <w:color w:val="auto"/>
        </w:rPr>
      </w:pPr>
    </w:p>
    <w:p w14:paraId="68602D20" w14:textId="47561C1B" w:rsidR="00D84FF3" w:rsidRDefault="00E97628" w:rsidP="008F2DA3">
      <w:pPr>
        <w:autoSpaceDE w:val="0"/>
        <w:autoSpaceDN w:val="0"/>
        <w:adjustRightInd w:val="0"/>
        <w:spacing w:after="0" w:line="240" w:lineRule="auto"/>
        <w:ind w:left="1096" w:hanging="1096"/>
        <w:jc w:val="both"/>
        <w:rPr>
          <w:rFonts w:eastAsia="Times New Roman"/>
          <w:color w:val="auto"/>
        </w:rPr>
      </w:pPr>
      <w:r>
        <w:rPr>
          <w:rFonts w:eastAsia="Times New Roman"/>
          <w:color w:val="auto"/>
        </w:rPr>
        <w:t>Tao, Z., Dong, B., Teng, Z. ve</w:t>
      </w:r>
      <w:r w:rsidR="00D84FF3" w:rsidRPr="00D84FF3">
        <w:rPr>
          <w:rFonts w:eastAsia="Times New Roman"/>
          <w:color w:val="auto"/>
        </w:rPr>
        <w:t xml:space="preserve"> Zhao, Y.</w:t>
      </w:r>
      <w:r w:rsidR="00D84FF3">
        <w:rPr>
          <w:rFonts w:eastAsia="Times New Roman"/>
          <w:color w:val="auto"/>
        </w:rPr>
        <w:t>, 2020</w:t>
      </w:r>
      <w:r w:rsidR="00D84FF3" w:rsidRPr="00D84FF3">
        <w:rPr>
          <w:rFonts w:eastAsia="Times New Roman"/>
          <w:color w:val="auto"/>
        </w:rPr>
        <w:t xml:space="preserve">. The classification of enzymes by deep learning. </w:t>
      </w:r>
      <w:r w:rsidR="00F72CE6" w:rsidRPr="00F72CE6">
        <w:rPr>
          <w:rFonts w:eastAsia="Times New Roman"/>
          <w:color w:val="auto"/>
        </w:rPr>
        <w:t xml:space="preserve">Institute of </w:t>
      </w:r>
      <w:r w:rsidR="00F72CE6" w:rsidRPr="00E271E5">
        <w:rPr>
          <w:rFonts w:eastAsia="Times New Roman"/>
          <w:color w:val="auto"/>
          <w:u w:val="single"/>
        </w:rPr>
        <w:t>Electrical and Electronics Engineers</w:t>
      </w:r>
      <w:r w:rsidR="00D84FF3" w:rsidRPr="00E271E5">
        <w:rPr>
          <w:rFonts w:eastAsia="Times New Roman"/>
          <w:color w:val="auto"/>
          <w:u w:val="single"/>
        </w:rPr>
        <w:t xml:space="preserve"> Access</w:t>
      </w:r>
      <w:r w:rsidR="00D84FF3" w:rsidRPr="00D84FF3">
        <w:rPr>
          <w:rFonts w:eastAsia="Times New Roman"/>
          <w:color w:val="auto"/>
        </w:rPr>
        <w:t xml:space="preserve">, 8, 89802-89811. </w:t>
      </w:r>
    </w:p>
    <w:p w14:paraId="1D41595C"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187149F0" w14:textId="77777777" w:rsidR="007943A0" w:rsidRDefault="007943A0" w:rsidP="008F2DA3">
      <w:pPr>
        <w:autoSpaceDE w:val="0"/>
        <w:autoSpaceDN w:val="0"/>
        <w:adjustRightInd w:val="0"/>
        <w:spacing w:after="0" w:line="240" w:lineRule="auto"/>
        <w:ind w:left="1096" w:hanging="1096"/>
        <w:jc w:val="both"/>
        <w:rPr>
          <w:rFonts w:eastAsia="TimesNewRomanPSMT"/>
          <w:color w:val="auto"/>
        </w:rPr>
      </w:pPr>
      <w:r w:rsidRPr="007943A0">
        <w:rPr>
          <w:rFonts w:eastAsia="TimesNewRomanPSMT"/>
          <w:color w:val="auto"/>
        </w:rPr>
        <w:t xml:space="preserve">Telefoncu, A. ve Kılınç, A., 2012. </w:t>
      </w:r>
      <w:r w:rsidRPr="007943A0">
        <w:rPr>
          <w:rFonts w:eastAsia="TimesNewRomanPS-ItalicMT"/>
          <w:iCs/>
          <w:color w:val="auto"/>
        </w:rPr>
        <w:t xml:space="preserve">Biyosensörler: Metodlar, Uygulamalar ve Son Gelişmeler, </w:t>
      </w:r>
      <w:r w:rsidRPr="007943A0">
        <w:rPr>
          <w:rFonts w:eastAsia="TimesNewRomanPSMT"/>
          <w:color w:val="auto"/>
        </w:rPr>
        <w:t>Biyosensörler: Metodlar, Uygulamalar ve Son Gelişmeler , Lisans Üstü Yaz Okulu, Muğla, 1-36.</w:t>
      </w:r>
    </w:p>
    <w:p w14:paraId="6F0DD5DE" w14:textId="77777777" w:rsidR="0086087B" w:rsidRPr="007943A0" w:rsidRDefault="0086087B" w:rsidP="008F2DA3">
      <w:pPr>
        <w:autoSpaceDE w:val="0"/>
        <w:autoSpaceDN w:val="0"/>
        <w:adjustRightInd w:val="0"/>
        <w:spacing w:after="0" w:line="240" w:lineRule="auto"/>
        <w:ind w:left="1096" w:hanging="1096"/>
        <w:jc w:val="both"/>
        <w:rPr>
          <w:rFonts w:eastAsia="TimesNewRomanPSMT"/>
          <w:color w:val="auto"/>
        </w:rPr>
      </w:pPr>
    </w:p>
    <w:p w14:paraId="4D2E2852" w14:textId="77777777" w:rsidR="007943A0" w:rsidRDefault="007943A0" w:rsidP="008F2DA3">
      <w:pPr>
        <w:autoSpaceDE w:val="0"/>
        <w:autoSpaceDN w:val="0"/>
        <w:adjustRightInd w:val="0"/>
        <w:spacing w:after="0" w:line="240" w:lineRule="auto"/>
        <w:ind w:left="1096" w:hanging="1096"/>
        <w:jc w:val="both"/>
        <w:rPr>
          <w:rFonts w:eastAsia="TimesNewRomanPS-ItalicMT"/>
          <w:iCs/>
          <w:color w:val="auto"/>
        </w:rPr>
      </w:pPr>
      <w:r w:rsidRPr="007943A0">
        <w:rPr>
          <w:rFonts w:eastAsia="TimesNewRomanPS-ItalicMT"/>
          <w:iCs/>
          <w:color w:val="auto"/>
        </w:rPr>
        <w:t xml:space="preserve">Thomas, I., Plas, A., Vogrig, A., Kandepedu, N., Chalard, P. ve Troin, Y., 2013. An Access to 2,6-Disubstituted Piperidines: Control of the Diastereoselectivity, Scope and Limitations. Applications to the Stereoselective Synthesis of (-)-Solenopsine A and Alkaloid (+)-241D, </w:t>
      </w:r>
      <w:r w:rsidRPr="007943A0">
        <w:rPr>
          <w:rFonts w:eastAsia="TimesNewRomanPS-ItalicMT"/>
          <w:iCs/>
          <w:color w:val="auto"/>
          <w:u w:val="single"/>
        </w:rPr>
        <w:t>The Journal of Organic Chemistry</w:t>
      </w:r>
      <w:r w:rsidRPr="007943A0">
        <w:rPr>
          <w:rFonts w:eastAsia="TimesNewRomanPS-ItalicMT"/>
          <w:iCs/>
          <w:color w:val="auto"/>
        </w:rPr>
        <w:t>, 78, 2511–2526.</w:t>
      </w:r>
    </w:p>
    <w:p w14:paraId="00D28F60" w14:textId="77777777" w:rsidR="0086087B" w:rsidRDefault="0086087B" w:rsidP="008F2DA3">
      <w:pPr>
        <w:autoSpaceDE w:val="0"/>
        <w:autoSpaceDN w:val="0"/>
        <w:adjustRightInd w:val="0"/>
        <w:spacing w:after="0" w:line="240" w:lineRule="auto"/>
        <w:ind w:left="1096" w:hanging="1096"/>
        <w:jc w:val="both"/>
        <w:rPr>
          <w:rFonts w:eastAsia="TimesNewRomanPS-ItalicMT"/>
          <w:iCs/>
          <w:color w:val="auto"/>
        </w:rPr>
      </w:pPr>
    </w:p>
    <w:p w14:paraId="7ECDAB1A" w14:textId="2BD01270"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Tipton, K. ve Boyce, S.</w:t>
      </w:r>
      <w:r w:rsidR="00D84FF3">
        <w:rPr>
          <w:rFonts w:eastAsia="Times New Roman"/>
          <w:color w:val="auto"/>
        </w:rPr>
        <w:t>,</w:t>
      </w:r>
      <w:r w:rsidRPr="007943A0">
        <w:rPr>
          <w:rFonts w:eastAsia="Times New Roman"/>
          <w:color w:val="auto"/>
        </w:rPr>
        <w:t xml:space="preserve"> 2000. History of the Enzyme Nomenclature System, </w:t>
      </w:r>
      <w:r w:rsidRPr="007943A0">
        <w:rPr>
          <w:rFonts w:eastAsia="Times New Roman"/>
          <w:color w:val="auto"/>
          <w:u w:val="single"/>
        </w:rPr>
        <w:t>Bioinformatics</w:t>
      </w:r>
      <w:r w:rsidRPr="007943A0">
        <w:rPr>
          <w:rFonts w:eastAsia="Times New Roman"/>
          <w:color w:val="auto"/>
        </w:rPr>
        <w:t>, 16, 34–40.</w:t>
      </w:r>
    </w:p>
    <w:p w14:paraId="28D314BE"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3329F211" w14:textId="72DE83F6"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Tripathi, A., 2008. Acetylcholinsterase: A Versatile Enzyme of Nervous System, India, </w:t>
      </w:r>
      <w:r w:rsidRPr="007943A0">
        <w:rPr>
          <w:rFonts w:eastAsia="Times New Roman"/>
          <w:color w:val="auto"/>
          <w:u w:val="single"/>
        </w:rPr>
        <w:t>Annals of Neuroscience</w:t>
      </w:r>
      <w:r w:rsidR="00FB3605">
        <w:rPr>
          <w:rFonts w:eastAsia="Times New Roman"/>
          <w:color w:val="auto"/>
          <w:u w:val="single"/>
        </w:rPr>
        <w:t>,</w:t>
      </w:r>
      <w:r w:rsidRPr="007943A0">
        <w:rPr>
          <w:rFonts w:eastAsia="Times New Roman"/>
          <w:color w:val="auto"/>
        </w:rPr>
        <w:t xml:space="preserve"> 15, 106-111. </w:t>
      </w:r>
    </w:p>
    <w:p w14:paraId="44CF7FB6"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6B38461F" w14:textId="5D797BD6"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MinionPro-Regular"/>
          <w:color w:val="auto"/>
        </w:rPr>
        <w:t>Uraz, M., Karakuş, S., Mohsen, UA., Kaplancıklı, Z.A. ve Rollas, S., 2017.</w:t>
      </w:r>
      <w:r w:rsidRPr="007943A0">
        <w:rPr>
          <w:rFonts w:eastAsia="Times New Roman"/>
          <w:color w:val="auto"/>
        </w:rPr>
        <w:t xml:space="preserve"> The Synthesis and Evaluation of Anti-acetylcholinesterase Activity of Some 4(3H)-Quinazolinone Derivatives Bearing Substituted 1,3,4- Thiadiazole, Turkey, </w:t>
      </w:r>
      <w:r w:rsidRPr="007943A0">
        <w:rPr>
          <w:rFonts w:eastAsia="Times New Roman"/>
          <w:color w:val="auto"/>
          <w:u w:val="single"/>
        </w:rPr>
        <w:t>Marmara Pharmaceutical Journal,</w:t>
      </w:r>
      <w:r w:rsidRPr="007943A0">
        <w:rPr>
          <w:rFonts w:eastAsia="Times New Roman"/>
          <w:color w:val="auto"/>
        </w:rPr>
        <w:t xml:space="preserve"> 21,</w:t>
      </w:r>
      <w:r w:rsidR="00FB3605">
        <w:rPr>
          <w:rFonts w:eastAsia="Times New Roman"/>
          <w:color w:val="auto"/>
        </w:rPr>
        <w:t xml:space="preserve"> </w:t>
      </w:r>
      <w:r w:rsidRPr="007943A0">
        <w:rPr>
          <w:rFonts w:eastAsia="Times New Roman"/>
          <w:color w:val="auto"/>
        </w:rPr>
        <w:t>96-101.</w:t>
      </w:r>
    </w:p>
    <w:p w14:paraId="6763416B"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68E70C32"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Qizilbash, N., Birks, J., Lopez Arrieta, J., Lewington, S. ve Szeto, S., 2007. “Withdrawn: Tacrine for Alzheimer's disease, England, Cochrane database of systematic reviews, 280, 177-82. </w:t>
      </w:r>
    </w:p>
    <w:p w14:paraId="65D1955D"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02CBBA9A" w14:textId="7D871AE3"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Viegas, C., Bolzani, V.S., Pimentel, L.S.B., Castro,N.G., Cabral, R.F., Costa,R.S., Floyd, C., Rocha, M.S.,</w:t>
      </w:r>
      <w:r w:rsidRPr="007943A0">
        <w:rPr>
          <w:rFonts w:ascii="Calibri" w:eastAsia="Calibri" w:hAnsi="Calibri"/>
          <w:color w:val="auto"/>
          <w:sz w:val="22"/>
          <w:szCs w:val="22"/>
          <w:lang w:val="en-US" w:eastAsia="en-US"/>
        </w:rPr>
        <w:t xml:space="preserve"> </w:t>
      </w:r>
      <w:r w:rsidRPr="007943A0">
        <w:rPr>
          <w:rFonts w:eastAsia="Times New Roman"/>
          <w:color w:val="auto"/>
        </w:rPr>
        <w:t>Young, M.C.M., Eliezer J.B</w:t>
      </w:r>
      <w:r w:rsidR="00E97628">
        <w:rPr>
          <w:rFonts w:eastAsia="Times New Roman"/>
          <w:color w:val="auto"/>
        </w:rPr>
        <w:t>. ve</w:t>
      </w:r>
      <w:r w:rsidRPr="007943A0">
        <w:rPr>
          <w:rFonts w:eastAsia="Times New Roman"/>
          <w:color w:val="auto"/>
        </w:rPr>
        <w:t xml:space="preserve"> Fragaa, C.A.M., 2005. New selective acetylcholinesterase inhibitors designed from natural piperidine alkaloids, </w:t>
      </w:r>
      <w:r w:rsidR="00C93FAC">
        <w:rPr>
          <w:rFonts w:eastAsia="Times New Roman"/>
          <w:color w:val="auto"/>
          <w:u w:val="single"/>
        </w:rPr>
        <w:t>Bioorganic and</w:t>
      </w:r>
      <w:r w:rsidRPr="007943A0">
        <w:rPr>
          <w:rFonts w:eastAsia="Times New Roman"/>
          <w:color w:val="auto"/>
          <w:u w:val="single"/>
        </w:rPr>
        <w:t xml:space="preserve"> Medicinal Chemistry</w:t>
      </w:r>
      <w:r w:rsidRPr="007943A0">
        <w:rPr>
          <w:rFonts w:eastAsia="Times New Roman"/>
          <w:color w:val="auto"/>
        </w:rPr>
        <w:t>, 13, 4184–4190.</w:t>
      </w:r>
    </w:p>
    <w:p w14:paraId="345BF56A"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5CC250A7" w14:textId="77777777" w:rsidR="007943A0" w:rsidRDefault="007943A0" w:rsidP="008F2DA3">
      <w:pPr>
        <w:autoSpaceDE w:val="0"/>
        <w:autoSpaceDN w:val="0"/>
        <w:adjustRightInd w:val="0"/>
        <w:spacing w:after="0" w:line="240" w:lineRule="auto"/>
        <w:ind w:left="1096" w:hanging="1096"/>
        <w:jc w:val="both"/>
        <w:rPr>
          <w:rFonts w:eastAsia="Times New Roman"/>
          <w:color w:val="auto"/>
        </w:rPr>
      </w:pPr>
      <w:r w:rsidRPr="007943A0">
        <w:rPr>
          <w:rFonts w:eastAsia="Times New Roman"/>
          <w:color w:val="auto"/>
        </w:rPr>
        <w:t xml:space="preserve">Yıldız M., 2013. Timol Ve Karvakrolün </w:t>
      </w:r>
      <w:r w:rsidRPr="007943A0">
        <w:rPr>
          <w:rFonts w:eastAsia="Times New Roman"/>
          <w:i/>
          <w:color w:val="auto"/>
        </w:rPr>
        <w:t>Drosophila Melanogaster</w:t>
      </w:r>
      <w:r w:rsidRPr="007943A0">
        <w:rPr>
          <w:rFonts w:eastAsia="Times New Roman"/>
          <w:color w:val="auto"/>
        </w:rPr>
        <w:t xml:space="preserve"> Asetilkolinesteraz Enzimi Üzerine Etkilerinin Araştırılması , Yüksek Lisans Tezi, Atatürk Üniversitesi, Fen Bilimleri Enstitüsü. Erzurum, 68 s.</w:t>
      </w:r>
    </w:p>
    <w:p w14:paraId="46E2BB2C" w14:textId="77777777" w:rsidR="0086087B" w:rsidRPr="007943A0" w:rsidRDefault="0086087B" w:rsidP="008F2DA3">
      <w:pPr>
        <w:autoSpaceDE w:val="0"/>
        <w:autoSpaceDN w:val="0"/>
        <w:adjustRightInd w:val="0"/>
        <w:spacing w:after="0" w:line="240" w:lineRule="auto"/>
        <w:ind w:left="1096" w:hanging="1096"/>
        <w:jc w:val="both"/>
        <w:rPr>
          <w:rFonts w:eastAsia="Times New Roman"/>
          <w:color w:val="auto"/>
        </w:rPr>
      </w:pPr>
    </w:p>
    <w:p w14:paraId="259D050B" w14:textId="77777777" w:rsidR="007943A0" w:rsidRPr="007943A0" w:rsidRDefault="007943A0" w:rsidP="008F2DA3">
      <w:pPr>
        <w:widowControl w:val="0"/>
        <w:spacing w:after="0" w:line="240" w:lineRule="auto"/>
        <w:outlineLvl w:val="0"/>
        <w:rPr>
          <w:rFonts w:eastAsia="Times New Roman"/>
          <w:color w:val="auto"/>
          <w:lang w:val="en-US" w:eastAsia="en-US"/>
        </w:rPr>
      </w:pPr>
      <w:bookmarkStart w:id="106" w:name="_Toc64567889"/>
      <w:r w:rsidRPr="007943A0">
        <w:rPr>
          <w:rFonts w:eastAsia="Times New Roman"/>
          <w:color w:val="auto"/>
        </w:rPr>
        <w:t xml:space="preserve">Yüksel, N., 2000. Alzheimer Hastalığının İlaçla Tedavisi, </w:t>
      </w:r>
      <w:r w:rsidRPr="007943A0">
        <w:rPr>
          <w:rFonts w:eastAsia="Times New Roman"/>
          <w:color w:val="auto"/>
          <w:u w:val="single"/>
        </w:rPr>
        <w:t>Klinik Psikiyatri</w:t>
      </w:r>
      <w:r w:rsidRPr="007943A0">
        <w:rPr>
          <w:rFonts w:eastAsia="Times New Roman"/>
          <w:color w:val="auto"/>
        </w:rPr>
        <w:t>, 3, 137-14.</w:t>
      </w:r>
      <w:bookmarkEnd w:id="106"/>
    </w:p>
    <w:p w14:paraId="0823A830" w14:textId="77777777" w:rsidR="007943A0" w:rsidRPr="007943A0" w:rsidRDefault="007943A0" w:rsidP="00CE76D5">
      <w:pPr>
        <w:widowControl w:val="0"/>
        <w:spacing w:after="0" w:line="240" w:lineRule="auto"/>
        <w:jc w:val="both"/>
        <w:rPr>
          <w:rFonts w:eastAsia="Calibri"/>
          <w:color w:val="auto"/>
          <w:lang w:val="en-US" w:eastAsia="en-US"/>
        </w:rPr>
        <w:sectPr w:rsidR="007943A0" w:rsidRPr="007943A0" w:rsidSect="007943A0">
          <w:pgSz w:w="11910" w:h="16840"/>
          <w:pgMar w:top="1701" w:right="1418" w:bottom="1418" w:left="1701" w:header="0" w:footer="567" w:gutter="0"/>
          <w:cols w:space="708"/>
          <w:titlePg/>
          <w:docGrid w:linePitch="299"/>
        </w:sectPr>
      </w:pPr>
    </w:p>
    <w:p w14:paraId="61B18A6B" w14:textId="77777777" w:rsidR="007943A0" w:rsidRPr="007943A0" w:rsidRDefault="007943A0" w:rsidP="007943A0">
      <w:pPr>
        <w:widowControl w:val="0"/>
        <w:spacing w:after="0" w:line="240" w:lineRule="auto"/>
        <w:ind w:left="709" w:hanging="709"/>
        <w:jc w:val="center"/>
        <w:rPr>
          <w:rFonts w:eastAsia="Calibri"/>
          <w:b/>
          <w:color w:val="auto"/>
          <w:lang w:val="en-US" w:eastAsia="en-US"/>
        </w:rPr>
      </w:pPr>
      <w:r w:rsidRPr="007943A0">
        <w:rPr>
          <w:rFonts w:eastAsia="Calibri"/>
          <w:b/>
          <w:color w:val="auto"/>
          <w:lang w:val="en-US" w:eastAsia="en-US"/>
        </w:rPr>
        <w:lastRenderedPageBreak/>
        <w:t>ÖZGEÇMİŞ</w:t>
      </w:r>
    </w:p>
    <w:p w14:paraId="73180A41" w14:textId="77777777" w:rsidR="007943A0" w:rsidRPr="007943A0" w:rsidRDefault="007943A0" w:rsidP="007943A0">
      <w:pPr>
        <w:widowControl w:val="0"/>
        <w:spacing w:after="0" w:line="240" w:lineRule="auto"/>
        <w:rPr>
          <w:rFonts w:eastAsia="Calibri"/>
          <w:color w:val="auto"/>
          <w:lang w:val="en-US" w:eastAsia="en-US"/>
        </w:rPr>
      </w:pPr>
    </w:p>
    <w:p w14:paraId="7C3CB430" w14:textId="3727A859" w:rsidR="007943A0" w:rsidRDefault="007943A0" w:rsidP="008F2DA3">
      <w:pPr>
        <w:widowControl w:val="0"/>
        <w:spacing w:after="0" w:line="360" w:lineRule="auto"/>
        <w:ind w:firstLine="567"/>
        <w:jc w:val="both"/>
        <w:rPr>
          <w:rFonts w:eastAsia="Calibri"/>
          <w:color w:val="auto"/>
          <w:lang w:val="en-US" w:eastAsia="en-US"/>
        </w:rPr>
      </w:pPr>
      <w:bookmarkStart w:id="107" w:name="_GoBack"/>
      <w:bookmarkEnd w:id="107"/>
      <w:r w:rsidRPr="007943A0">
        <w:rPr>
          <w:rFonts w:eastAsia="Calibri"/>
          <w:color w:val="auto"/>
          <w:lang w:val="en-US" w:eastAsia="en-US"/>
        </w:rPr>
        <w:t>İlk ve Ortaokul eğitimini Mersin’de Güneykent ve Anafartalar İlköğretim Okullarında, Lise eğitimini ise Cemile Hamdi Ongun Lisesinde tamamladı. 2009’da Hatay Mustafa Kemal Üniversitesi Fen Edebiyat Fakültesi Kimya Bölümünü kazandı ve 2013’de lisans eğitimini tamamladı. 2013 yılında Gümüşhane Üniversitesi Merkezi Araştırma Laboratuvarı Uygulama ve Araştırma Merkezinde Kimya Teknikeri olarak göreve başladı. 2018’de Gümüşhane Üniversitesi Fen Bilimleri Enstitüsü Biyoteknoloji Anabilim Dalı’nda yüksek lisans eğitimine başladı. 2019 yılında görev yaptığı Gümüşhane Üniveristesinden ayrılarak Tarsus Üniversitesi Teknik Bilimler Fakültesinde Kimya Teknikeri olarak göreve başladı ve halen bu görevine devam etmektedi</w:t>
      </w:r>
      <w:r w:rsidR="00A155B5">
        <w:rPr>
          <w:rFonts w:eastAsia="Calibri"/>
          <w:color w:val="auto"/>
          <w:lang w:val="en-US" w:eastAsia="en-US"/>
        </w:rPr>
        <w:t xml:space="preserve">r. </w:t>
      </w:r>
      <w:r w:rsidR="00C425E6">
        <w:rPr>
          <w:rFonts w:eastAsia="Calibri"/>
          <w:color w:val="auto"/>
          <w:lang w:val="en-US" w:eastAsia="en-US"/>
        </w:rPr>
        <w:t>Evli ve bir çoc</w:t>
      </w:r>
      <w:r w:rsidR="00A155B5">
        <w:rPr>
          <w:rFonts w:eastAsia="Calibri"/>
          <w:color w:val="auto"/>
          <w:lang w:val="en-US" w:eastAsia="en-US"/>
        </w:rPr>
        <w:t>uk babasıdır.</w:t>
      </w:r>
    </w:p>
    <w:p w14:paraId="5D6011F2" w14:textId="30658C6C" w:rsidR="00D0100E" w:rsidRPr="00664EDE" w:rsidRDefault="008F5046" w:rsidP="00A155B5">
      <w:pPr>
        <w:autoSpaceDE w:val="0"/>
        <w:autoSpaceDN w:val="0"/>
        <w:adjustRightInd w:val="0"/>
        <w:spacing w:line="360" w:lineRule="auto"/>
        <w:jc w:val="both"/>
        <w:rPr>
          <w:b/>
        </w:rPr>
      </w:pPr>
      <w:r>
        <w:rPr>
          <w:b/>
          <w:noProof/>
        </w:rPr>
        <mc:AlternateContent>
          <mc:Choice Requires="wps">
            <w:drawing>
              <wp:anchor distT="0" distB="0" distL="114300" distR="114300" simplePos="0" relativeHeight="251661312" behindDoc="0" locked="0" layoutInCell="1" allowOverlap="1" wp14:anchorId="42C8EA05" wp14:editId="27174501">
                <wp:simplePos x="0" y="0"/>
                <wp:positionH relativeFrom="column">
                  <wp:posOffset>2618105</wp:posOffset>
                </wp:positionH>
                <wp:positionV relativeFrom="paragraph">
                  <wp:posOffset>5222875</wp:posOffset>
                </wp:positionV>
                <wp:extent cx="501227" cy="304800"/>
                <wp:effectExtent l="0" t="0" r="0" b="0"/>
                <wp:wrapNone/>
                <wp:docPr id="3" name="Dikdörtgen 3"/>
                <wp:cNvGraphicFramePr/>
                <a:graphic xmlns:a="http://schemas.openxmlformats.org/drawingml/2006/main">
                  <a:graphicData uri="http://schemas.microsoft.com/office/word/2010/wordprocessingShape">
                    <wps:wsp>
                      <wps:cNvSpPr/>
                      <wps:spPr>
                        <a:xfrm>
                          <a:off x="0" y="0"/>
                          <a:ext cx="501227" cy="30480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0DEEBBD" id="Dikdörtgen 3" o:spid="_x0000_s1026" style="position:absolute;margin-left:206.15pt;margin-top:411.25pt;width:39.45pt;height:24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" fillcolor="white [3212]" stroked="f" strokeweight="2pt"/>
            </w:pict>
          </mc:Fallback>
        </mc:AlternateContent>
      </w:r>
    </w:p>
    <w:sectPr w:rsidR="00D0100E" w:rsidRPr="00664EDE" w:rsidSect="00515BBF">
      <w:footerReference w:type="default" r:id="rId49"/>
      <w:pgSz w:w="11906" w:h="16838"/>
      <w:pgMar w:top="1701" w:right="1418"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B6ECD0" w14:textId="77777777" w:rsidR="0009168B" w:rsidRDefault="0009168B" w:rsidP="00616146">
      <w:pPr>
        <w:spacing w:after="0" w:line="240" w:lineRule="auto"/>
      </w:pPr>
      <w:r>
        <w:separator/>
      </w:r>
    </w:p>
  </w:endnote>
  <w:endnote w:type="continuationSeparator" w:id="0">
    <w:p w14:paraId="2DC54B5B" w14:textId="77777777" w:rsidR="0009168B" w:rsidRDefault="0009168B" w:rsidP="006161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AFF" w:usb1="C0007841" w:usb2="00000009" w:usb3="00000000" w:csb0="000001FF" w:csb1="00000000"/>
  </w:font>
  <w:font w:name="Arial">
    <w:panose1 w:val="020B0604020202020204"/>
    <w:charset w:val="A2"/>
    <w:family w:val="swiss"/>
    <w:pitch w:val="variable"/>
    <w:sig w:usb0="E0002A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 w:name="Calibri Light">
    <w:panose1 w:val="020F0302020204030204"/>
    <w:charset w:val="A2"/>
    <w:family w:val="swiss"/>
    <w:pitch w:val="variable"/>
    <w:sig w:usb0="A00002EF" w:usb1="4000207B" w:usb2="00000000" w:usb3="00000000" w:csb0="0000019F" w:csb1="00000000"/>
  </w:font>
  <w:font w:name="Verdana">
    <w:panose1 w:val="020B0604030504040204"/>
    <w:charset w:val="A2"/>
    <w:family w:val="swiss"/>
    <w:pitch w:val="variable"/>
    <w:sig w:usb0="A0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A2"/>
    <w:family w:val="swiss"/>
    <w:pitch w:val="variable"/>
    <w:sig w:usb0="E1002EFF" w:usb1="C000605B" w:usb2="00000029" w:usb3="00000000" w:csb0="000101FF" w:csb1="00000000"/>
  </w:font>
  <w:font w:name="Minion Pro">
    <w:altName w:val="Times New Roman"/>
    <w:panose1 w:val="00000000000000000000"/>
    <w:charset w:val="00"/>
    <w:family w:val="roman"/>
    <w:notTrueType/>
    <w:pitch w:val="variable"/>
    <w:sig w:usb0="60000287" w:usb1="00000001" w:usb2="00000000" w:usb3="00000000" w:csb0="0000019F" w:csb1="00000000"/>
  </w:font>
  <w:font w:name="MyriadPro-Regular">
    <w:altName w:val="MS Gothic"/>
    <w:panose1 w:val="00000000000000000000"/>
    <w:charset w:val="80"/>
    <w:family w:val="swiss"/>
    <w:notTrueType/>
    <w:pitch w:val="default"/>
    <w:sig w:usb0="00000001" w:usb1="08070000" w:usb2="00000010" w:usb3="00000000" w:csb0="00020000" w:csb1="00000000"/>
  </w:font>
  <w:font w:name="Times-Roman">
    <w:altName w:val="MS Gothic"/>
    <w:panose1 w:val="00000000000000000000"/>
    <w:charset w:val="80"/>
    <w:family w:val="auto"/>
    <w:notTrueType/>
    <w:pitch w:val="default"/>
    <w:sig w:usb0="00000000" w:usb1="08070000" w:usb2="00000010" w:usb3="00000000" w:csb0="00020000" w:csb1="00000000"/>
  </w:font>
  <w:font w:name="TimesNewRomanPSMT">
    <w:altName w:val="MS Gothic"/>
    <w:panose1 w:val="00000000000000000000"/>
    <w:charset w:val="00"/>
    <w:family w:val="roman"/>
    <w:notTrueType/>
    <w:pitch w:val="default"/>
    <w:sig w:usb0="00000007" w:usb1="08070000" w:usb2="00000010" w:usb3="00000000" w:csb0="00020011" w:csb1="00000000"/>
  </w:font>
  <w:font w:name="TimesNewRomanPS-ItalicMT">
    <w:altName w:val="MS Gothic"/>
    <w:panose1 w:val="00000000000000000000"/>
    <w:charset w:val="80"/>
    <w:family w:val="auto"/>
    <w:notTrueType/>
    <w:pitch w:val="default"/>
    <w:sig w:usb0="00000005" w:usb1="08070000" w:usb2="00000010" w:usb3="00000000" w:csb0="00020010" w:csb1="00000000"/>
  </w:font>
  <w:font w:name="MinionPro-Regular">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SayfaNumaras"/>
      </w:rPr>
      <w:id w:val="-495254942"/>
      <w:docPartObj>
        <w:docPartGallery w:val="Page Numbers (Bottom of Page)"/>
        <w:docPartUnique/>
      </w:docPartObj>
    </w:sdtPr>
    <w:sdtEndPr>
      <w:rPr>
        <w:rStyle w:val="SayfaNumaras"/>
      </w:rPr>
    </w:sdtEndPr>
    <w:sdtContent>
      <w:p w14:paraId="2CE25CE5" w14:textId="77777777" w:rsidR="006A53A9" w:rsidRDefault="006A53A9" w:rsidP="001A1F4A">
        <w:pPr>
          <w:pStyle w:val="Altbilgi"/>
          <w:framePr w:wrap="none" w:vAnchor="text" w:hAnchor="margin" w:xAlign="center" w:y="1"/>
          <w:rPr>
            <w:rStyle w:val="SayfaNumaras"/>
          </w:rPr>
        </w:pPr>
        <w:r>
          <w:rPr>
            <w:rStyle w:val="SayfaNumaras"/>
          </w:rPr>
          <w:fldChar w:fldCharType="begin"/>
        </w:r>
        <w:r>
          <w:rPr>
            <w:rStyle w:val="SayfaNumaras"/>
          </w:rPr>
          <w:instrText xml:space="preserve"> PAGE </w:instrText>
        </w:r>
        <w:r>
          <w:rPr>
            <w:rStyle w:val="SayfaNumaras"/>
          </w:rPr>
          <w:fldChar w:fldCharType="end"/>
        </w:r>
      </w:p>
    </w:sdtContent>
  </w:sdt>
  <w:p w14:paraId="03127DC9" w14:textId="77777777" w:rsidR="006A53A9" w:rsidRDefault="006A53A9">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31584729"/>
      <w:docPartObj>
        <w:docPartGallery w:val="Page Numbers (Bottom of Page)"/>
        <w:docPartUnique/>
      </w:docPartObj>
    </w:sdtPr>
    <w:sdtEndPr/>
    <w:sdtContent>
      <w:p w14:paraId="1E9A6CF4" w14:textId="6A1AE448" w:rsidR="006A53A9" w:rsidRDefault="006A53A9">
        <w:pPr>
          <w:pStyle w:val="Altbilgi"/>
          <w:jc w:val="center"/>
        </w:pPr>
        <w:r>
          <w:fldChar w:fldCharType="begin"/>
        </w:r>
        <w:r>
          <w:instrText>PAGE   \* MERGEFORMAT</w:instrText>
        </w:r>
        <w:r>
          <w:fldChar w:fldCharType="separate"/>
        </w:r>
        <w:r>
          <w:rPr>
            <w:noProof/>
          </w:rPr>
          <w:t>I</w:t>
        </w:r>
        <w:r>
          <w:fldChar w:fldCharType="end"/>
        </w:r>
      </w:p>
    </w:sdtContent>
  </w:sdt>
  <w:p w14:paraId="0384F43D" w14:textId="77777777" w:rsidR="006A53A9" w:rsidRDefault="006A53A9">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6F4918" w14:textId="06BFF449" w:rsidR="006A53A9" w:rsidRDefault="006A53A9">
    <w:pPr>
      <w:pStyle w:val="Altbilgi"/>
      <w:jc w:val="center"/>
    </w:pPr>
  </w:p>
  <w:p w14:paraId="4653EAAC" w14:textId="77777777" w:rsidR="006A53A9" w:rsidRDefault="006A53A9">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D7BC63" w14:textId="77777777" w:rsidR="006A53A9" w:rsidRDefault="006A53A9">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56757505"/>
      <w:docPartObj>
        <w:docPartGallery w:val="Page Numbers (Bottom of Page)"/>
        <w:docPartUnique/>
      </w:docPartObj>
    </w:sdtPr>
    <w:sdtEndPr/>
    <w:sdtContent>
      <w:p w14:paraId="0D0BF985" w14:textId="2AF1E24D" w:rsidR="006A53A9" w:rsidRDefault="006A53A9">
        <w:pPr>
          <w:pStyle w:val="Altbilgi"/>
          <w:jc w:val="center"/>
        </w:pPr>
        <w:r>
          <w:fldChar w:fldCharType="begin"/>
        </w:r>
        <w:r>
          <w:instrText>PAGE   \* MERGEFORMAT</w:instrText>
        </w:r>
        <w:r>
          <w:fldChar w:fldCharType="separate"/>
        </w:r>
        <w:r w:rsidR="00E23743">
          <w:rPr>
            <w:noProof/>
          </w:rPr>
          <w:t>XIV</w:t>
        </w:r>
        <w:r>
          <w:fldChar w:fldCharType="end"/>
        </w:r>
      </w:p>
    </w:sdtContent>
  </w:sdt>
  <w:p w14:paraId="4FCB1186" w14:textId="77777777" w:rsidR="006A53A9" w:rsidRDefault="006A53A9">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62806249"/>
      <w:docPartObj>
        <w:docPartGallery w:val="Page Numbers (Bottom of Page)"/>
        <w:docPartUnique/>
      </w:docPartObj>
    </w:sdtPr>
    <w:sdtEndPr/>
    <w:sdtContent>
      <w:p w14:paraId="70A9DD58" w14:textId="13C346D3" w:rsidR="006A53A9" w:rsidRDefault="006A53A9">
        <w:pPr>
          <w:pStyle w:val="Altbilgi"/>
          <w:jc w:val="center"/>
        </w:pPr>
        <w:r>
          <w:fldChar w:fldCharType="begin"/>
        </w:r>
        <w:r>
          <w:instrText>PAGE   \* MERGEFORMAT</w:instrText>
        </w:r>
        <w:r>
          <w:fldChar w:fldCharType="separate"/>
        </w:r>
        <w:r w:rsidR="00E23743">
          <w:rPr>
            <w:noProof/>
          </w:rPr>
          <w:t>14</w:t>
        </w:r>
        <w:r>
          <w:fldChar w:fldCharType="end"/>
        </w:r>
      </w:p>
    </w:sdtContent>
  </w:sdt>
  <w:p w14:paraId="311D8618" w14:textId="77777777" w:rsidR="006A53A9" w:rsidRDefault="006A53A9"/>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9B1FDC" w14:textId="446A713C" w:rsidR="006A53A9" w:rsidRDefault="006A53A9">
    <w:pPr>
      <w:pStyle w:val="Altbilgi"/>
      <w:jc w:val="center"/>
    </w:pPr>
  </w:p>
  <w:p w14:paraId="616F54BB" w14:textId="77777777" w:rsidR="006A53A9" w:rsidRDefault="006A53A9">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14037103"/>
      <w:docPartObj>
        <w:docPartGallery w:val="Page Numbers (Bottom of Page)"/>
        <w:docPartUnique/>
      </w:docPartObj>
    </w:sdtPr>
    <w:sdtEndPr/>
    <w:sdtContent>
      <w:p w14:paraId="14E3DF60" w14:textId="77777777" w:rsidR="006A53A9" w:rsidRDefault="006A53A9">
        <w:pPr>
          <w:pStyle w:val="Altbilgi"/>
          <w:jc w:val="center"/>
        </w:pPr>
      </w:p>
      <w:p w14:paraId="5735860D" w14:textId="04FD2EA2" w:rsidR="006A53A9" w:rsidRDefault="006A53A9">
        <w:pPr>
          <w:pStyle w:val="Altbilgi"/>
          <w:jc w:val="center"/>
        </w:pPr>
        <w:r>
          <w:fldChar w:fldCharType="begin"/>
        </w:r>
        <w:r>
          <w:instrText>PAGE   \* MERGEFORMAT</w:instrText>
        </w:r>
        <w:r>
          <w:fldChar w:fldCharType="separate"/>
        </w:r>
        <w:r w:rsidR="00E23743">
          <w:rPr>
            <w:noProof/>
          </w:rPr>
          <w:t>52</w:t>
        </w:r>
        <w:r>
          <w:fldChar w:fldCharType="end"/>
        </w:r>
      </w:p>
    </w:sdtContent>
  </w:sdt>
  <w:p w14:paraId="3B64898C" w14:textId="77777777" w:rsidR="006A53A9" w:rsidRDefault="006A53A9">
    <w:pPr>
      <w:spacing w:line="14" w:lineRule="auto"/>
      <w:rPr>
        <w:sz w:val="2"/>
        <w:szCs w:val="2"/>
      </w:rPr>
    </w:pPr>
  </w:p>
  <w:p w14:paraId="1AFD9E1F" w14:textId="77777777" w:rsidR="006A53A9" w:rsidRDefault="006A53A9"/>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3702772"/>
      <w:docPartObj>
        <w:docPartGallery w:val="Page Numbers (Bottom of Page)"/>
        <w:docPartUnique/>
      </w:docPartObj>
    </w:sdtPr>
    <w:sdtEndPr/>
    <w:sdtContent>
      <w:p w14:paraId="1FB1481F" w14:textId="3E67A5BE" w:rsidR="006A53A9" w:rsidRDefault="006A53A9">
        <w:pPr>
          <w:pStyle w:val="Altbilgi"/>
          <w:jc w:val="center"/>
        </w:pPr>
        <w:r>
          <w:fldChar w:fldCharType="begin"/>
        </w:r>
        <w:r>
          <w:instrText>PAGE   \* MERGEFORMAT</w:instrText>
        </w:r>
        <w:r>
          <w:fldChar w:fldCharType="separate"/>
        </w:r>
        <w:r w:rsidR="00E23743">
          <w:rPr>
            <w:noProof/>
          </w:rPr>
          <w:t>53</w:t>
        </w:r>
        <w:r>
          <w:fldChar w:fldCharType="end"/>
        </w:r>
      </w:p>
    </w:sdtContent>
  </w:sdt>
  <w:p w14:paraId="3B9F93FA" w14:textId="77777777" w:rsidR="006A53A9" w:rsidRDefault="006A53A9">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C06C4A" w14:textId="77777777" w:rsidR="0009168B" w:rsidRDefault="0009168B" w:rsidP="00616146">
      <w:pPr>
        <w:spacing w:after="0" w:line="240" w:lineRule="auto"/>
      </w:pPr>
      <w:r>
        <w:separator/>
      </w:r>
    </w:p>
  </w:footnote>
  <w:footnote w:type="continuationSeparator" w:id="0">
    <w:p w14:paraId="669849E9" w14:textId="77777777" w:rsidR="0009168B" w:rsidRDefault="0009168B" w:rsidP="006161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34A502" w14:textId="77777777" w:rsidR="006A53A9" w:rsidRPr="00D00D28" w:rsidRDefault="006A53A9">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FFA90C" w14:textId="77777777" w:rsidR="006A53A9" w:rsidRDefault="006A53A9">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3630A2" w14:textId="77777777" w:rsidR="006A53A9" w:rsidRPr="00D00D28" w:rsidRDefault="006A53A9">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C741A7"/>
    <w:multiLevelType w:val="multilevel"/>
    <w:tmpl w:val="4830AA70"/>
    <w:styleLink w:val="Stil4"/>
    <w:lvl w:ilvl="0">
      <w:start w:val="1"/>
      <w:numFmt w:val="decimal"/>
      <w:lvlText w:val="%1"/>
      <w:lvlJc w:val="left"/>
      <w:pPr>
        <w:ind w:left="284" w:firstLine="283"/>
      </w:pPr>
      <w:rPr>
        <w:rFonts w:ascii="Times New Roman" w:hAnsi="Times New Roman" w:hint="default"/>
        <w:b/>
        <w:color w:val="auto"/>
        <w:sz w:val="24"/>
      </w:rPr>
    </w:lvl>
    <w:lvl w:ilvl="1">
      <w:start w:val="1"/>
      <w:numFmt w:val="decimal"/>
      <w:lvlText w:val="%1.%2."/>
      <w:lvlJc w:val="left"/>
      <w:pPr>
        <w:ind w:left="284" w:firstLine="283"/>
      </w:pPr>
      <w:rPr>
        <w:rFonts w:hint="default"/>
      </w:rPr>
    </w:lvl>
    <w:lvl w:ilvl="2">
      <w:start w:val="1"/>
      <w:numFmt w:val="decimal"/>
      <w:lvlText w:val="%1.%2.%3."/>
      <w:lvlJc w:val="left"/>
      <w:pPr>
        <w:ind w:left="284" w:firstLine="283"/>
      </w:pPr>
      <w:rPr>
        <w:rFonts w:hint="default"/>
      </w:rPr>
    </w:lvl>
    <w:lvl w:ilvl="3">
      <w:start w:val="1"/>
      <w:numFmt w:val="decimal"/>
      <w:lvlText w:val="%1.%2.%3.6."/>
      <w:lvlJc w:val="left"/>
      <w:pPr>
        <w:ind w:left="567" w:firstLine="0"/>
      </w:pPr>
      <w:rPr>
        <w:rFonts w:ascii="Times New Roman" w:hAnsi="Times New Roman" w:hint="default"/>
        <w:b/>
        <w:i w:val="0"/>
        <w:sz w:val="24"/>
      </w:rPr>
    </w:lvl>
    <w:lvl w:ilvl="4">
      <w:start w:val="1"/>
      <w:numFmt w:val="decimal"/>
      <w:lvlText w:val="%1.%2.%3.3."/>
      <w:lvlJc w:val="left"/>
      <w:pPr>
        <w:ind w:left="284" w:firstLine="283"/>
      </w:pPr>
      <w:rPr>
        <w:rFonts w:hint="default"/>
      </w:rPr>
    </w:lvl>
    <w:lvl w:ilvl="5">
      <w:start w:val="1"/>
      <w:numFmt w:val="decimal"/>
      <w:lvlText w:val="%1.%2.%3.%4.%5.%6."/>
      <w:lvlJc w:val="left"/>
      <w:pPr>
        <w:ind w:left="284" w:firstLine="283"/>
      </w:pPr>
      <w:rPr>
        <w:rFonts w:hint="default"/>
      </w:rPr>
    </w:lvl>
    <w:lvl w:ilvl="6">
      <w:start w:val="1"/>
      <w:numFmt w:val="decimal"/>
      <w:lvlText w:val="%1.%2.%3.%4.%5.%6.%7."/>
      <w:lvlJc w:val="left"/>
      <w:pPr>
        <w:ind w:left="284" w:firstLine="283"/>
      </w:pPr>
      <w:rPr>
        <w:rFonts w:hint="default"/>
      </w:rPr>
    </w:lvl>
    <w:lvl w:ilvl="7">
      <w:start w:val="1"/>
      <w:numFmt w:val="decimal"/>
      <w:lvlText w:val="%1.%2.%3.%4.%5.%6.%7.%8."/>
      <w:lvlJc w:val="left"/>
      <w:pPr>
        <w:ind w:left="284" w:firstLine="283"/>
      </w:pPr>
      <w:rPr>
        <w:rFonts w:hint="default"/>
      </w:rPr>
    </w:lvl>
    <w:lvl w:ilvl="8">
      <w:start w:val="1"/>
      <w:numFmt w:val="decimal"/>
      <w:lvlText w:val="%1.%2.%3.%4.%5.%6.%7.%8.%9."/>
      <w:lvlJc w:val="left"/>
      <w:pPr>
        <w:ind w:left="284" w:firstLine="283"/>
      </w:pPr>
      <w:rPr>
        <w:rFonts w:hint="default"/>
      </w:rPr>
    </w:lvl>
  </w:abstractNum>
  <w:abstractNum w:abstractNumId="1" w15:restartNumberingAfterBreak="0">
    <w:nsid w:val="13990C0E"/>
    <w:multiLevelType w:val="multilevel"/>
    <w:tmpl w:val="2D58FA54"/>
    <w:styleLink w:val="Stil6"/>
    <w:lvl w:ilvl="0">
      <w:start w:val="4"/>
      <w:numFmt w:val="decimal"/>
      <w:lvlText w:val="%1."/>
      <w:lvlJc w:val="left"/>
      <w:pPr>
        <w:ind w:left="567" w:firstLine="0"/>
      </w:pPr>
      <w:rPr>
        <w:rFonts w:ascii="Times New Roman" w:hAnsi="Times New Roman" w:hint="default"/>
        <w:b/>
        <w:color w:val="auto"/>
        <w:sz w:val="24"/>
      </w:rPr>
    </w:lvl>
    <w:lvl w:ilvl="1">
      <w:start w:val="1"/>
      <w:numFmt w:val="decimal"/>
      <w:lvlText w:val="%1.%2."/>
      <w:lvlJc w:val="left"/>
      <w:pPr>
        <w:ind w:left="567" w:firstLine="0"/>
      </w:pPr>
      <w:rPr>
        <w:rFonts w:hint="default"/>
      </w:rPr>
    </w:lvl>
    <w:lvl w:ilvl="2">
      <w:start w:val="1"/>
      <w:numFmt w:val="decimal"/>
      <w:lvlText w:val="%1.%2.%3."/>
      <w:lvlJc w:val="left"/>
      <w:pPr>
        <w:ind w:left="567" w:firstLine="0"/>
      </w:pPr>
      <w:rPr>
        <w:rFonts w:hint="default"/>
      </w:rPr>
    </w:lvl>
    <w:lvl w:ilvl="3">
      <w:start w:val="1"/>
      <w:numFmt w:val="decimal"/>
      <w:lvlText w:val="%4%1.%2.%3.8."/>
      <w:lvlJc w:val="left"/>
      <w:pPr>
        <w:ind w:left="567" w:firstLine="0"/>
      </w:pPr>
      <w:rPr>
        <w:rFonts w:ascii="Times New Roman" w:hAnsi="Times New Roman" w:hint="default"/>
        <w:b/>
        <w:i w:val="0"/>
        <w:sz w:val="24"/>
      </w:rPr>
    </w:lvl>
    <w:lvl w:ilvl="4">
      <w:start w:val="1"/>
      <w:numFmt w:val="decimal"/>
      <w:lvlText w:val="%5%1.%2.%3.6."/>
      <w:lvlJc w:val="left"/>
      <w:pPr>
        <w:ind w:left="567" w:firstLine="0"/>
      </w:pPr>
      <w:rPr>
        <w:rFonts w:hint="default"/>
      </w:rPr>
    </w:lvl>
    <w:lvl w:ilvl="5">
      <w:start w:val="1"/>
      <w:numFmt w:val="decimal"/>
      <w:lvlText w:val="%1.%2.%3.%4.%5.%6."/>
      <w:lvlJc w:val="left"/>
      <w:pPr>
        <w:ind w:left="567" w:firstLine="0"/>
      </w:pPr>
      <w:rPr>
        <w:rFonts w:hint="default"/>
      </w:rPr>
    </w:lvl>
    <w:lvl w:ilvl="6">
      <w:start w:val="1"/>
      <w:numFmt w:val="decimal"/>
      <w:lvlText w:val="%1.%2.%3.%4.%5.%6.%7."/>
      <w:lvlJc w:val="left"/>
      <w:pPr>
        <w:ind w:left="567" w:firstLine="0"/>
      </w:pPr>
      <w:rPr>
        <w:rFonts w:hint="default"/>
      </w:rPr>
    </w:lvl>
    <w:lvl w:ilvl="7">
      <w:start w:val="1"/>
      <w:numFmt w:val="decimal"/>
      <w:lvlText w:val="%1.%2.%3.%4.%5.%6.%7.%8."/>
      <w:lvlJc w:val="left"/>
      <w:pPr>
        <w:ind w:left="567" w:firstLine="0"/>
      </w:pPr>
      <w:rPr>
        <w:rFonts w:hint="default"/>
      </w:rPr>
    </w:lvl>
    <w:lvl w:ilvl="8">
      <w:start w:val="1"/>
      <w:numFmt w:val="decimal"/>
      <w:lvlText w:val="%1.%2.%3.%4.%5.%6.%7.%8.%9."/>
      <w:lvlJc w:val="left"/>
      <w:pPr>
        <w:ind w:left="567" w:firstLine="0"/>
      </w:pPr>
      <w:rPr>
        <w:rFonts w:hint="default"/>
      </w:rPr>
    </w:lvl>
  </w:abstractNum>
  <w:abstractNum w:abstractNumId="2" w15:restartNumberingAfterBreak="0">
    <w:nsid w:val="1DCF3F86"/>
    <w:multiLevelType w:val="multilevel"/>
    <w:tmpl w:val="15908134"/>
    <w:styleLink w:val="Stil3"/>
    <w:lvl w:ilvl="0">
      <w:start w:val="3"/>
      <w:numFmt w:val="decimal"/>
      <w:lvlText w:val="%1."/>
      <w:lvlJc w:val="left"/>
      <w:pPr>
        <w:ind w:left="567" w:firstLine="0"/>
      </w:pPr>
      <w:rPr>
        <w:rFonts w:ascii="Times New Roman" w:hAnsi="Times New Roman" w:hint="default"/>
        <w:b/>
        <w:sz w:val="24"/>
      </w:rPr>
    </w:lvl>
    <w:lvl w:ilvl="1">
      <w:start w:val="1"/>
      <w:numFmt w:val="decimal"/>
      <w:lvlText w:val="%1.%2."/>
      <w:lvlJc w:val="left"/>
      <w:pPr>
        <w:ind w:left="567" w:firstLine="0"/>
      </w:pPr>
      <w:rPr>
        <w:rFonts w:hint="default"/>
      </w:rPr>
    </w:lvl>
    <w:lvl w:ilvl="2">
      <w:start w:val="1"/>
      <w:numFmt w:val="decimal"/>
      <w:lvlText w:val="%1.%2.%3."/>
      <w:lvlJc w:val="left"/>
      <w:pPr>
        <w:ind w:left="567" w:firstLine="0"/>
      </w:pPr>
      <w:rPr>
        <w:rFonts w:hint="default"/>
      </w:rPr>
    </w:lvl>
    <w:lvl w:ilvl="3">
      <w:start w:val="1"/>
      <w:numFmt w:val="decimal"/>
      <w:lvlText w:val="%1.%2.%3.4."/>
      <w:lvlJc w:val="left"/>
      <w:pPr>
        <w:ind w:left="0" w:firstLine="0"/>
      </w:pPr>
      <w:rPr>
        <w:rFonts w:ascii="Times New Roman" w:hAnsi="Times New Roman" w:hint="default"/>
        <w:b/>
        <w:i w:val="0"/>
        <w:sz w:val="24"/>
      </w:rPr>
    </w:lvl>
    <w:lvl w:ilvl="4">
      <w:start w:val="1"/>
      <w:numFmt w:val="decimal"/>
      <w:lvlText w:val="%1.%2.%3.3."/>
      <w:lvlJc w:val="left"/>
      <w:pPr>
        <w:ind w:left="567" w:firstLine="0"/>
      </w:pPr>
      <w:rPr>
        <w:rFonts w:hint="default"/>
      </w:rPr>
    </w:lvl>
    <w:lvl w:ilvl="5">
      <w:start w:val="1"/>
      <w:numFmt w:val="decimal"/>
      <w:lvlText w:val="%1.%2.%3.%4.%5.%6."/>
      <w:lvlJc w:val="left"/>
      <w:pPr>
        <w:ind w:left="567" w:firstLine="0"/>
      </w:pPr>
      <w:rPr>
        <w:rFonts w:hint="default"/>
      </w:rPr>
    </w:lvl>
    <w:lvl w:ilvl="6">
      <w:start w:val="1"/>
      <w:numFmt w:val="decimal"/>
      <w:lvlText w:val="%1.%2.%3.%4.%5.%6.%7."/>
      <w:lvlJc w:val="left"/>
      <w:pPr>
        <w:ind w:left="567" w:firstLine="0"/>
      </w:pPr>
      <w:rPr>
        <w:rFonts w:hint="default"/>
      </w:rPr>
    </w:lvl>
    <w:lvl w:ilvl="7">
      <w:start w:val="1"/>
      <w:numFmt w:val="decimal"/>
      <w:lvlText w:val="%1.%2.%3.%4.%5.%6.%7.%8."/>
      <w:lvlJc w:val="left"/>
      <w:pPr>
        <w:ind w:left="567" w:firstLine="0"/>
      </w:pPr>
      <w:rPr>
        <w:rFonts w:hint="default"/>
      </w:rPr>
    </w:lvl>
    <w:lvl w:ilvl="8">
      <w:start w:val="1"/>
      <w:numFmt w:val="decimal"/>
      <w:lvlText w:val="%1.%2.%3.%4.%5.%6.%7.%8.%9."/>
      <w:lvlJc w:val="left"/>
      <w:pPr>
        <w:ind w:left="567" w:firstLine="0"/>
      </w:pPr>
      <w:rPr>
        <w:rFonts w:hint="default"/>
      </w:rPr>
    </w:lvl>
  </w:abstractNum>
  <w:abstractNum w:abstractNumId="3" w15:restartNumberingAfterBreak="0">
    <w:nsid w:val="34363420"/>
    <w:multiLevelType w:val="hybridMultilevel"/>
    <w:tmpl w:val="1FF6A9C4"/>
    <w:lvl w:ilvl="0" w:tplc="3CAABEA2">
      <w:start w:val="1"/>
      <w:numFmt w:val="decimal"/>
      <w:lvlText w:val="%1)"/>
      <w:lvlJc w:val="left"/>
      <w:pPr>
        <w:ind w:left="720" w:hanging="360"/>
      </w:pPr>
      <w:rPr>
        <w:rFonts w:ascii="Arial" w:eastAsia="Calibri" w:hAnsi="Arial" w:cs="Aria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4" w15:restartNumberingAfterBreak="0">
    <w:nsid w:val="44A95416"/>
    <w:multiLevelType w:val="multilevel"/>
    <w:tmpl w:val="041F001D"/>
    <w:styleLink w:val="Stil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51C82A10"/>
    <w:multiLevelType w:val="hybridMultilevel"/>
    <w:tmpl w:val="19F29F22"/>
    <w:lvl w:ilvl="0" w:tplc="0B541500">
      <w:start w:val="1"/>
      <w:numFmt w:val="decimal"/>
      <w:lvlText w:val="%1."/>
      <w:lvlJc w:val="left"/>
      <w:pPr>
        <w:ind w:left="786" w:hanging="360"/>
      </w:pPr>
      <w:rPr>
        <w:rFonts w:eastAsia="Times New Roman" w:hint="default"/>
        <w:color w:val="auto"/>
        <w:u w:val="none"/>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num w:numId="1">
    <w:abstractNumId w:val="2"/>
  </w:num>
  <w:num w:numId="2">
    <w:abstractNumId w:val="0"/>
  </w:num>
  <w:num w:numId="3">
    <w:abstractNumId w:val="1"/>
  </w:num>
  <w:num w:numId="4">
    <w:abstractNumId w:val="4"/>
  </w:num>
  <w:num w:numId="5">
    <w:abstractNumId w:val="3"/>
    <w:lvlOverride w:ilvl="0">
      <w:startOverride w:val="1"/>
    </w:lvlOverride>
    <w:lvlOverride w:ilvl="1"/>
    <w:lvlOverride w:ilvl="2"/>
    <w:lvlOverride w:ilvl="3"/>
    <w:lvlOverride w:ilvl="4"/>
    <w:lvlOverride w:ilvl="5"/>
    <w:lvlOverride w:ilvl="6"/>
    <w:lvlOverride w:ilvl="7"/>
    <w:lvlOverride w:ilvl="8"/>
  </w:num>
  <w:num w:numId="6">
    <w:abstractNumId w:val="5"/>
  </w:num>
  <w:num w:numId="7">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activeWritingStyle w:appName="MSWord" w:lang="en-US" w:vendorID="64" w:dllVersion="6" w:nlCheck="1" w:checkStyle="0"/>
  <w:activeWritingStyle w:appName="MSWord" w:lang="tr-TR" w:vendorID="64" w:dllVersion="4096" w:nlCheck="1" w:checkStyle="0"/>
  <w:activeWritingStyle w:appName="MSWord" w:lang="en-US" w:vendorID="64" w:dllVersion="131078" w:nlCheck="1" w:checkStyle="1"/>
  <w:defaultTabStop w:val="567"/>
  <w:hyphenationZone w:val="425"/>
  <w:drawingGridHorizontalSpacing w:val="108"/>
  <w:drawingGridVerticalSpacing w:val="181"/>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huseyin 2&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arzxx9dtj2pwsfertsnv0fam5fd02wzxzx9p&quot;&gt;tez kütüphane&lt;record-ids&gt;&lt;item&gt;3&lt;/item&gt;&lt;item&gt;4&lt;/item&gt;&lt;item&gt;5&lt;/item&gt;&lt;item&gt;6&lt;/item&gt;&lt;item&gt;11&lt;/item&gt;&lt;item&gt;12&lt;/item&gt;&lt;item&gt;14&lt;/item&gt;&lt;item&gt;15&lt;/item&gt;&lt;item&gt;16&lt;/item&gt;&lt;item&gt;24&lt;/item&gt;&lt;item&gt;25&lt;/item&gt;&lt;item&gt;26&lt;/item&gt;&lt;item&gt;27&lt;/item&gt;&lt;item&gt;28&lt;/item&gt;&lt;item&gt;29&lt;/item&gt;&lt;item&gt;31&lt;/item&gt;&lt;item&gt;37&lt;/item&gt;&lt;item&gt;41&lt;/item&gt;&lt;item&gt;42&lt;/item&gt;&lt;item&gt;45&lt;/item&gt;&lt;item&gt;46&lt;/item&gt;&lt;item&gt;47&lt;/item&gt;&lt;item&gt;49&lt;/item&gt;&lt;item&gt;50&lt;/item&gt;&lt;item&gt;51&lt;/item&gt;&lt;item&gt;52&lt;/item&gt;&lt;item&gt;54&lt;/item&gt;&lt;item&gt;55&lt;/item&gt;&lt;item&gt;56&lt;/item&gt;&lt;item&gt;57&lt;/item&gt;&lt;item&gt;58&lt;/item&gt;&lt;item&gt;60&lt;/item&gt;&lt;item&gt;61&lt;/item&gt;&lt;item&gt;64&lt;/item&gt;&lt;item&gt;65&lt;/item&gt;&lt;item&gt;66&lt;/item&gt;&lt;item&gt;67&lt;/item&gt;&lt;item&gt;68&lt;/item&gt;&lt;item&gt;69&lt;/item&gt;&lt;item&gt;71&lt;/item&gt;&lt;item&gt;72&lt;/item&gt;&lt;item&gt;74&lt;/item&gt;&lt;item&gt;75&lt;/item&gt;&lt;/record-ids&gt;&lt;/item&gt;&lt;/Libraries&gt;"/>
  </w:docVars>
  <w:rsids>
    <w:rsidRoot w:val="006131D9"/>
    <w:rsid w:val="00000F3D"/>
    <w:rsid w:val="0000137F"/>
    <w:rsid w:val="00002551"/>
    <w:rsid w:val="0000292F"/>
    <w:rsid w:val="00004CAB"/>
    <w:rsid w:val="00004D20"/>
    <w:rsid w:val="00005C14"/>
    <w:rsid w:val="00005ED5"/>
    <w:rsid w:val="00006BED"/>
    <w:rsid w:val="000075FD"/>
    <w:rsid w:val="000078D7"/>
    <w:rsid w:val="000102CC"/>
    <w:rsid w:val="00011488"/>
    <w:rsid w:val="00011893"/>
    <w:rsid w:val="0001213F"/>
    <w:rsid w:val="00012279"/>
    <w:rsid w:val="000133FF"/>
    <w:rsid w:val="000136BA"/>
    <w:rsid w:val="00013734"/>
    <w:rsid w:val="00013C63"/>
    <w:rsid w:val="00014F1A"/>
    <w:rsid w:val="0001698B"/>
    <w:rsid w:val="00016FBF"/>
    <w:rsid w:val="000177B1"/>
    <w:rsid w:val="000202AF"/>
    <w:rsid w:val="000206B9"/>
    <w:rsid w:val="0002205C"/>
    <w:rsid w:val="000225F9"/>
    <w:rsid w:val="0002318D"/>
    <w:rsid w:val="00023856"/>
    <w:rsid w:val="00023CD7"/>
    <w:rsid w:val="00023D97"/>
    <w:rsid w:val="000242FA"/>
    <w:rsid w:val="00025391"/>
    <w:rsid w:val="000254CF"/>
    <w:rsid w:val="00025E20"/>
    <w:rsid w:val="00026CA0"/>
    <w:rsid w:val="000274FC"/>
    <w:rsid w:val="0002783E"/>
    <w:rsid w:val="00031438"/>
    <w:rsid w:val="000314E2"/>
    <w:rsid w:val="0003185D"/>
    <w:rsid w:val="00031B61"/>
    <w:rsid w:val="0003360C"/>
    <w:rsid w:val="000352EC"/>
    <w:rsid w:val="00035A3D"/>
    <w:rsid w:val="00035DCA"/>
    <w:rsid w:val="000361AE"/>
    <w:rsid w:val="00036290"/>
    <w:rsid w:val="000373B9"/>
    <w:rsid w:val="00037CBA"/>
    <w:rsid w:val="00041E0B"/>
    <w:rsid w:val="000425C6"/>
    <w:rsid w:val="0004286E"/>
    <w:rsid w:val="00042958"/>
    <w:rsid w:val="000437F6"/>
    <w:rsid w:val="00043922"/>
    <w:rsid w:val="00043C90"/>
    <w:rsid w:val="000453DB"/>
    <w:rsid w:val="000457F5"/>
    <w:rsid w:val="00046822"/>
    <w:rsid w:val="00046C8B"/>
    <w:rsid w:val="000474B0"/>
    <w:rsid w:val="00047E6F"/>
    <w:rsid w:val="000501C4"/>
    <w:rsid w:val="000501EE"/>
    <w:rsid w:val="000502EF"/>
    <w:rsid w:val="0005038E"/>
    <w:rsid w:val="00050705"/>
    <w:rsid w:val="000518B1"/>
    <w:rsid w:val="00051A28"/>
    <w:rsid w:val="0005213A"/>
    <w:rsid w:val="00052195"/>
    <w:rsid w:val="000524E6"/>
    <w:rsid w:val="0005256D"/>
    <w:rsid w:val="000526B9"/>
    <w:rsid w:val="000534AC"/>
    <w:rsid w:val="00053674"/>
    <w:rsid w:val="00053E24"/>
    <w:rsid w:val="0005403A"/>
    <w:rsid w:val="00054992"/>
    <w:rsid w:val="00056473"/>
    <w:rsid w:val="000568B1"/>
    <w:rsid w:val="000569BE"/>
    <w:rsid w:val="000570CA"/>
    <w:rsid w:val="000577F7"/>
    <w:rsid w:val="000577F9"/>
    <w:rsid w:val="00057B7F"/>
    <w:rsid w:val="000613E6"/>
    <w:rsid w:val="00061F97"/>
    <w:rsid w:val="00062413"/>
    <w:rsid w:val="000657D5"/>
    <w:rsid w:val="00066232"/>
    <w:rsid w:val="00066385"/>
    <w:rsid w:val="00067822"/>
    <w:rsid w:val="00067FDF"/>
    <w:rsid w:val="000718F0"/>
    <w:rsid w:val="000721F7"/>
    <w:rsid w:val="0007227B"/>
    <w:rsid w:val="00072D9C"/>
    <w:rsid w:val="00073A36"/>
    <w:rsid w:val="000756F7"/>
    <w:rsid w:val="00075B82"/>
    <w:rsid w:val="0007712E"/>
    <w:rsid w:val="0008011F"/>
    <w:rsid w:val="00080381"/>
    <w:rsid w:val="00082597"/>
    <w:rsid w:val="000841F5"/>
    <w:rsid w:val="0008453B"/>
    <w:rsid w:val="00085987"/>
    <w:rsid w:val="00086A05"/>
    <w:rsid w:val="00086D8B"/>
    <w:rsid w:val="00090B07"/>
    <w:rsid w:val="00090E57"/>
    <w:rsid w:val="0009168B"/>
    <w:rsid w:val="00091CC7"/>
    <w:rsid w:val="00091CCA"/>
    <w:rsid w:val="000956A9"/>
    <w:rsid w:val="0009572A"/>
    <w:rsid w:val="000969D3"/>
    <w:rsid w:val="000978AF"/>
    <w:rsid w:val="000A030A"/>
    <w:rsid w:val="000A1013"/>
    <w:rsid w:val="000A12A1"/>
    <w:rsid w:val="000A1850"/>
    <w:rsid w:val="000A188E"/>
    <w:rsid w:val="000A29D5"/>
    <w:rsid w:val="000A5BA7"/>
    <w:rsid w:val="000A5CDD"/>
    <w:rsid w:val="000A6052"/>
    <w:rsid w:val="000A6ADA"/>
    <w:rsid w:val="000A7549"/>
    <w:rsid w:val="000B0105"/>
    <w:rsid w:val="000B05E3"/>
    <w:rsid w:val="000B061C"/>
    <w:rsid w:val="000B2784"/>
    <w:rsid w:val="000B3E75"/>
    <w:rsid w:val="000B52B7"/>
    <w:rsid w:val="000B52ED"/>
    <w:rsid w:val="000B5559"/>
    <w:rsid w:val="000B5D3E"/>
    <w:rsid w:val="000B5F5F"/>
    <w:rsid w:val="000B6DD1"/>
    <w:rsid w:val="000C04DC"/>
    <w:rsid w:val="000C1F66"/>
    <w:rsid w:val="000C1FEE"/>
    <w:rsid w:val="000C2A2E"/>
    <w:rsid w:val="000C4F1A"/>
    <w:rsid w:val="000C5066"/>
    <w:rsid w:val="000C7FE3"/>
    <w:rsid w:val="000D1ED6"/>
    <w:rsid w:val="000D2B93"/>
    <w:rsid w:val="000D374D"/>
    <w:rsid w:val="000D6CBB"/>
    <w:rsid w:val="000D7681"/>
    <w:rsid w:val="000E11D4"/>
    <w:rsid w:val="000E155D"/>
    <w:rsid w:val="000E18DC"/>
    <w:rsid w:val="000E1982"/>
    <w:rsid w:val="000E3592"/>
    <w:rsid w:val="000E3602"/>
    <w:rsid w:val="000E3DB7"/>
    <w:rsid w:val="000E425E"/>
    <w:rsid w:val="000E429A"/>
    <w:rsid w:val="000E785A"/>
    <w:rsid w:val="000F09CC"/>
    <w:rsid w:val="000F1243"/>
    <w:rsid w:val="000F1A79"/>
    <w:rsid w:val="000F1CB9"/>
    <w:rsid w:val="000F285E"/>
    <w:rsid w:val="000F2EA7"/>
    <w:rsid w:val="000F3070"/>
    <w:rsid w:val="000F31D5"/>
    <w:rsid w:val="000F3907"/>
    <w:rsid w:val="000F3A78"/>
    <w:rsid w:val="000F3CC2"/>
    <w:rsid w:val="000F4D6F"/>
    <w:rsid w:val="000F6B2A"/>
    <w:rsid w:val="000F6D56"/>
    <w:rsid w:val="000F7771"/>
    <w:rsid w:val="001001AC"/>
    <w:rsid w:val="00100801"/>
    <w:rsid w:val="00100943"/>
    <w:rsid w:val="00101F34"/>
    <w:rsid w:val="001031D9"/>
    <w:rsid w:val="00104B20"/>
    <w:rsid w:val="00104E46"/>
    <w:rsid w:val="00105F21"/>
    <w:rsid w:val="00105FF8"/>
    <w:rsid w:val="00106504"/>
    <w:rsid w:val="001074A2"/>
    <w:rsid w:val="00107DE1"/>
    <w:rsid w:val="00110F51"/>
    <w:rsid w:val="001114AB"/>
    <w:rsid w:val="0011175A"/>
    <w:rsid w:val="00111782"/>
    <w:rsid w:val="00112D04"/>
    <w:rsid w:val="00113162"/>
    <w:rsid w:val="00113827"/>
    <w:rsid w:val="00113F90"/>
    <w:rsid w:val="00113FD6"/>
    <w:rsid w:val="00113FF7"/>
    <w:rsid w:val="00114147"/>
    <w:rsid w:val="00115394"/>
    <w:rsid w:val="001160C2"/>
    <w:rsid w:val="00117CEF"/>
    <w:rsid w:val="00120257"/>
    <w:rsid w:val="001202BF"/>
    <w:rsid w:val="00120BD2"/>
    <w:rsid w:val="00123C3D"/>
    <w:rsid w:val="00124634"/>
    <w:rsid w:val="001249E2"/>
    <w:rsid w:val="001259EF"/>
    <w:rsid w:val="0012664F"/>
    <w:rsid w:val="001267EF"/>
    <w:rsid w:val="00127B18"/>
    <w:rsid w:val="00130BD9"/>
    <w:rsid w:val="00132400"/>
    <w:rsid w:val="00132989"/>
    <w:rsid w:val="001351F9"/>
    <w:rsid w:val="001354FD"/>
    <w:rsid w:val="001355DC"/>
    <w:rsid w:val="0013592C"/>
    <w:rsid w:val="0013627D"/>
    <w:rsid w:val="00136E5F"/>
    <w:rsid w:val="00137A72"/>
    <w:rsid w:val="00140600"/>
    <w:rsid w:val="00140C61"/>
    <w:rsid w:val="00141931"/>
    <w:rsid w:val="00142F0B"/>
    <w:rsid w:val="00143AE8"/>
    <w:rsid w:val="00143DB3"/>
    <w:rsid w:val="00143DFD"/>
    <w:rsid w:val="00145A98"/>
    <w:rsid w:val="00146A19"/>
    <w:rsid w:val="00147A28"/>
    <w:rsid w:val="00147F57"/>
    <w:rsid w:val="00150873"/>
    <w:rsid w:val="00150C14"/>
    <w:rsid w:val="00150C7F"/>
    <w:rsid w:val="00151062"/>
    <w:rsid w:val="00151788"/>
    <w:rsid w:val="00151A27"/>
    <w:rsid w:val="00151F9D"/>
    <w:rsid w:val="0015234E"/>
    <w:rsid w:val="00152716"/>
    <w:rsid w:val="00152F07"/>
    <w:rsid w:val="00153FC3"/>
    <w:rsid w:val="00155ECB"/>
    <w:rsid w:val="001568A7"/>
    <w:rsid w:val="001576BD"/>
    <w:rsid w:val="001606AB"/>
    <w:rsid w:val="00160C82"/>
    <w:rsid w:val="00160EE5"/>
    <w:rsid w:val="00161197"/>
    <w:rsid w:val="001621AC"/>
    <w:rsid w:val="001625C7"/>
    <w:rsid w:val="001631AC"/>
    <w:rsid w:val="00163FFE"/>
    <w:rsid w:val="0016425C"/>
    <w:rsid w:val="001642C5"/>
    <w:rsid w:val="00164F04"/>
    <w:rsid w:val="00166209"/>
    <w:rsid w:val="001664D9"/>
    <w:rsid w:val="0016702B"/>
    <w:rsid w:val="00170BDC"/>
    <w:rsid w:val="00171C83"/>
    <w:rsid w:val="00171F11"/>
    <w:rsid w:val="00173055"/>
    <w:rsid w:val="001730F4"/>
    <w:rsid w:val="00173FFA"/>
    <w:rsid w:val="00174243"/>
    <w:rsid w:val="001744F9"/>
    <w:rsid w:val="00175AD0"/>
    <w:rsid w:val="00176CAB"/>
    <w:rsid w:val="00176FB5"/>
    <w:rsid w:val="0017710C"/>
    <w:rsid w:val="0017719B"/>
    <w:rsid w:val="00177413"/>
    <w:rsid w:val="00177C42"/>
    <w:rsid w:val="0018166B"/>
    <w:rsid w:val="00182656"/>
    <w:rsid w:val="00182CE0"/>
    <w:rsid w:val="00183CFE"/>
    <w:rsid w:val="00184710"/>
    <w:rsid w:val="00185165"/>
    <w:rsid w:val="001857F2"/>
    <w:rsid w:val="00185877"/>
    <w:rsid w:val="001858EC"/>
    <w:rsid w:val="00187171"/>
    <w:rsid w:val="001871C8"/>
    <w:rsid w:val="001875B2"/>
    <w:rsid w:val="00187B81"/>
    <w:rsid w:val="00187C2D"/>
    <w:rsid w:val="001926A6"/>
    <w:rsid w:val="0019270D"/>
    <w:rsid w:val="001936E5"/>
    <w:rsid w:val="00194213"/>
    <w:rsid w:val="001947D6"/>
    <w:rsid w:val="00194882"/>
    <w:rsid w:val="00194E86"/>
    <w:rsid w:val="0019601B"/>
    <w:rsid w:val="0019614B"/>
    <w:rsid w:val="00197330"/>
    <w:rsid w:val="001977AF"/>
    <w:rsid w:val="001A06D3"/>
    <w:rsid w:val="001A1145"/>
    <w:rsid w:val="001A12F1"/>
    <w:rsid w:val="001A13B4"/>
    <w:rsid w:val="001A1546"/>
    <w:rsid w:val="001A1F4A"/>
    <w:rsid w:val="001A2B21"/>
    <w:rsid w:val="001A3642"/>
    <w:rsid w:val="001A4EA7"/>
    <w:rsid w:val="001A5B89"/>
    <w:rsid w:val="001A5EC6"/>
    <w:rsid w:val="001A5FC7"/>
    <w:rsid w:val="001A62AF"/>
    <w:rsid w:val="001A6397"/>
    <w:rsid w:val="001A6BE0"/>
    <w:rsid w:val="001A7DC5"/>
    <w:rsid w:val="001B08CA"/>
    <w:rsid w:val="001B0E14"/>
    <w:rsid w:val="001B1058"/>
    <w:rsid w:val="001B2311"/>
    <w:rsid w:val="001B2B4D"/>
    <w:rsid w:val="001B3FD0"/>
    <w:rsid w:val="001B4245"/>
    <w:rsid w:val="001B4739"/>
    <w:rsid w:val="001B5E57"/>
    <w:rsid w:val="001B64A0"/>
    <w:rsid w:val="001B7A2A"/>
    <w:rsid w:val="001C019A"/>
    <w:rsid w:val="001C1F60"/>
    <w:rsid w:val="001C35CA"/>
    <w:rsid w:val="001C3FBA"/>
    <w:rsid w:val="001C4216"/>
    <w:rsid w:val="001C479B"/>
    <w:rsid w:val="001C4DAA"/>
    <w:rsid w:val="001C68C5"/>
    <w:rsid w:val="001C6B20"/>
    <w:rsid w:val="001C7643"/>
    <w:rsid w:val="001C77BA"/>
    <w:rsid w:val="001D1804"/>
    <w:rsid w:val="001D240D"/>
    <w:rsid w:val="001D2856"/>
    <w:rsid w:val="001D2913"/>
    <w:rsid w:val="001D2CF2"/>
    <w:rsid w:val="001D30A6"/>
    <w:rsid w:val="001D3271"/>
    <w:rsid w:val="001D48F0"/>
    <w:rsid w:val="001D57B4"/>
    <w:rsid w:val="001D5923"/>
    <w:rsid w:val="001D7CAC"/>
    <w:rsid w:val="001E1DB5"/>
    <w:rsid w:val="001E2737"/>
    <w:rsid w:val="001E2DB8"/>
    <w:rsid w:val="001E3AED"/>
    <w:rsid w:val="001E4D28"/>
    <w:rsid w:val="001E5F7D"/>
    <w:rsid w:val="001E6099"/>
    <w:rsid w:val="001E65EC"/>
    <w:rsid w:val="001F0189"/>
    <w:rsid w:val="001F0318"/>
    <w:rsid w:val="001F0C0D"/>
    <w:rsid w:val="001F0C28"/>
    <w:rsid w:val="001F0FAD"/>
    <w:rsid w:val="001F141A"/>
    <w:rsid w:val="001F2B05"/>
    <w:rsid w:val="001F3039"/>
    <w:rsid w:val="001F3819"/>
    <w:rsid w:val="001F3C20"/>
    <w:rsid w:val="001F4C13"/>
    <w:rsid w:val="001F4DD9"/>
    <w:rsid w:val="001F4FCA"/>
    <w:rsid w:val="001F55F6"/>
    <w:rsid w:val="001F6496"/>
    <w:rsid w:val="001F6EB6"/>
    <w:rsid w:val="001F6F0C"/>
    <w:rsid w:val="002005AE"/>
    <w:rsid w:val="00200A79"/>
    <w:rsid w:val="00200B76"/>
    <w:rsid w:val="00201479"/>
    <w:rsid w:val="002019AB"/>
    <w:rsid w:val="002019F3"/>
    <w:rsid w:val="00202690"/>
    <w:rsid w:val="002028CF"/>
    <w:rsid w:val="00204579"/>
    <w:rsid w:val="00204DE9"/>
    <w:rsid w:val="00205F57"/>
    <w:rsid w:val="0020766B"/>
    <w:rsid w:val="002116D6"/>
    <w:rsid w:val="0021209B"/>
    <w:rsid w:val="002122D1"/>
    <w:rsid w:val="00212536"/>
    <w:rsid w:val="002128B2"/>
    <w:rsid w:val="00212936"/>
    <w:rsid w:val="00212E07"/>
    <w:rsid w:val="00215499"/>
    <w:rsid w:val="00215BE4"/>
    <w:rsid w:val="002201A1"/>
    <w:rsid w:val="002209C7"/>
    <w:rsid w:val="00220D37"/>
    <w:rsid w:val="00221214"/>
    <w:rsid w:val="002223D7"/>
    <w:rsid w:val="00222B4C"/>
    <w:rsid w:val="00223B26"/>
    <w:rsid w:val="002246A9"/>
    <w:rsid w:val="00225171"/>
    <w:rsid w:val="00225E26"/>
    <w:rsid w:val="0022664C"/>
    <w:rsid w:val="00230A84"/>
    <w:rsid w:val="00231705"/>
    <w:rsid w:val="00231810"/>
    <w:rsid w:val="00232886"/>
    <w:rsid w:val="00232D30"/>
    <w:rsid w:val="00233B60"/>
    <w:rsid w:val="002345BA"/>
    <w:rsid w:val="00234BBC"/>
    <w:rsid w:val="00234FEE"/>
    <w:rsid w:val="00235417"/>
    <w:rsid w:val="002369B0"/>
    <w:rsid w:val="00236CBF"/>
    <w:rsid w:val="00236EB7"/>
    <w:rsid w:val="0024008E"/>
    <w:rsid w:val="00240ACE"/>
    <w:rsid w:val="00240E5E"/>
    <w:rsid w:val="00241013"/>
    <w:rsid w:val="00241030"/>
    <w:rsid w:val="00242B06"/>
    <w:rsid w:val="002435CD"/>
    <w:rsid w:val="00243733"/>
    <w:rsid w:val="00243B00"/>
    <w:rsid w:val="0024495A"/>
    <w:rsid w:val="0024535A"/>
    <w:rsid w:val="00245800"/>
    <w:rsid w:val="00245BB0"/>
    <w:rsid w:val="00245CB0"/>
    <w:rsid w:val="002462E1"/>
    <w:rsid w:val="0024634A"/>
    <w:rsid w:val="00247255"/>
    <w:rsid w:val="00250C0D"/>
    <w:rsid w:val="00250F13"/>
    <w:rsid w:val="00250FF1"/>
    <w:rsid w:val="002517D1"/>
    <w:rsid w:val="00253347"/>
    <w:rsid w:val="00253D68"/>
    <w:rsid w:val="00254D6B"/>
    <w:rsid w:val="002553B4"/>
    <w:rsid w:val="0025548E"/>
    <w:rsid w:val="0025576D"/>
    <w:rsid w:val="00256701"/>
    <w:rsid w:val="00256C8E"/>
    <w:rsid w:val="00256ECF"/>
    <w:rsid w:val="00257EDF"/>
    <w:rsid w:val="00262CE6"/>
    <w:rsid w:val="00263D51"/>
    <w:rsid w:val="0026404C"/>
    <w:rsid w:val="00264FDD"/>
    <w:rsid w:val="00266455"/>
    <w:rsid w:val="00266CF6"/>
    <w:rsid w:val="00270446"/>
    <w:rsid w:val="00270AC8"/>
    <w:rsid w:val="00272EBA"/>
    <w:rsid w:val="00272F74"/>
    <w:rsid w:val="00273FA6"/>
    <w:rsid w:val="00275D02"/>
    <w:rsid w:val="00276149"/>
    <w:rsid w:val="002761BF"/>
    <w:rsid w:val="0027677B"/>
    <w:rsid w:val="00276853"/>
    <w:rsid w:val="00277029"/>
    <w:rsid w:val="00280848"/>
    <w:rsid w:val="00280D30"/>
    <w:rsid w:val="0028181E"/>
    <w:rsid w:val="00281EF0"/>
    <w:rsid w:val="0028283F"/>
    <w:rsid w:val="00282A72"/>
    <w:rsid w:val="002831D8"/>
    <w:rsid w:val="002836DE"/>
    <w:rsid w:val="00284EC3"/>
    <w:rsid w:val="002864D3"/>
    <w:rsid w:val="0028651E"/>
    <w:rsid w:val="00286C0F"/>
    <w:rsid w:val="00287E41"/>
    <w:rsid w:val="00291DA2"/>
    <w:rsid w:val="00292A3B"/>
    <w:rsid w:val="0029348E"/>
    <w:rsid w:val="00293A0E"/>
    <w:rsid w:val="00294AAB"/>
    <w:rsid w:val="002957AD"/>
    <w:rsid w:val="00295F08"/>
    <w:rsid w:val="002961BE"/>
    <w:rsid w:val="002961D5"/>
    <w:rsid w:val="0029783A"/>
    <w:rsid w:val="002A0C91"/>
    <w:rsid w:val="002A0D4D"/>
    <w:rsid w:val="002A10F6"/>
    <w:rsid w:val="002A1310"/>
    <w:rsid w:val="002A2DD9"/>
    <w:rsid w:val="002A34BA"/>
    <w:rsid w:val="002A3C33"/>
    <w:rsid w:val="002A3F95"/>
    <w:rsid w:val="002A5164"/>
    <w:rsid w:val="002A51F7"/>
    <w:rsid w:val="002A55A6"/>
    <w:rsid w:val="002A6301"/>
    <w:rsid w:val="002A6793"/>
    <w:rsid w:val="002A683A"/>
    <w:rsid w:val="002B1A55"/>
    <w:rsid w:val="002B2A37"/>
    <w:rsid w:val="002B3349"/>
    <w:rsid w:val="002B3847"/>
    <w:rsid w:val="002B3B2F"/>
    <w:rsid w:val="002B45AE"/>
    <w:rsid w:val="002B55ED"/>
    <w:rsid w:val="002B5CC6"/>
    <w:rsid w:val="002B6A2F"/>
    <w:rsid w:val="002B6C0D"/>
    <w:rsid w:val="002B6C5F"/>
    <w:rsid w:val="002B6DD4"/>
    <w:rsid w:val="002B6F0C"/>
    <w:rsid w:val="002B7135"/>
    <w:rsid w:val="002B74C3"/>
    <w:rsid w:val="002C153D"/>
    <w:rsid w:val="002C166B"/>
    <w:rsid w:val="002C25AF"/>
    <w:rsid w:val="002C283F"/>
    <w:rsid w:val="002C376E"/>
    <w:rsid w:val="002C3C94"/>
    <w:rsid w:val="002C3F02"/>
    <w:rsid w:val="002C3FA4"/>
    <w:rsid w:val="002C4694"/>
    <w:rsid w:val="002C49FB"/>
    <w:rsid w:val="002C587B"/>
    <w:rsid w:val="002C5B75"/>
    <w:rsid w:val="002C74E3"/>
    <w:rsid w:val="002D01AE"/>
    <w:rsid w:val="002D0716"/>
    <w:rsid w:val="002D1894"/>
    <w:rsid w:val="002D2FEF"/>
    <w:rsid w:val="002D3798"/>
    <w:rsid w:val="002D4F9A"/>
    <w:rsid w:val="002D5F74"/>
    <w:rsid w:val="002D6093"/>
    <w:rsid w:val="002D6724"/>
    <w:rsid w:val="002D74D1"/>
    <w:rsid w:val="002E04CC"/>
    <w:rsid w:val="002E06EA"/>
    <w:rsid w:val="002E0BBC"/>
    <w:rsid w:val="002E1A8C"/>
    <w:rsid w:val="002E2A1E"/>
    <w:rsid w:val="002E3775"/>
    <w:rsid w:val="002E3C05"/>
    <w:rsid w:val="002E3DF3"/>
    <w:rsid w:val="002E409B"/>
    <w:rsid w:val="002E40B8"/>
    <w:rsid w:val="002E4C0D"/>
    <w:rsid w:val="002E53D0"/>
    <w:rsid w:val="002E54F1"/>
    <w:rsid w:val="002E6132"/>
    <w:rsid w:val="002E7106"/>
    <w:rsid w:val="002E7134"/>
    <w:rsid w:val="002F001B"/>
    <w:rsid w:val="002F1427"/>
    <w:rsid w:val="002F23DB"/>
    <w:rsid w:val="002F3748"/>
    <w:rsid w:val="002F39E7"/>
    <w:rsid w:val="002F3B05"/>
    <w:rsid w:val="002F3D14"/>
    <w:rsid w:val="002F4376"/>
    <w:rsid w:val="002F4DC7"/>
    <w:rsid w:val="002F573A"/>
    <w:rsid w:val="002F607F"/>
    <w:rsid w:val="002F6D1E"/>
    <w:rsid w:val="002F78DD"/>
    <w:rsid w:val="00300853"/>
    <w:rsid w:val="00300C31"/>
    <w:rsid w:val="00300C91"/>
    <w:rsid w:val="00301C1B"/>
    <w:rsid w:val="00301C94"/>
    <w:rsid w:val="0030497F"/>
    <w:rsid w:val="0030587D"/>
    <w:rsid w:val="00305A11"/>
    <w:rsid w:val="003067BA"/>
    <w:rsid w:val="003072CC"/>
    <w:rsid w:val="00307A7D"/>
    <w:rsid w:val="003101FC"/>
    <w:rsid w:val="0031039A"/>
    <w:rsid w:val="00310FD9"/>
    <w:rsid w:val="00311EF8"/>
    <w:rsid w:val="003125CE"/>
    <w:rsid w:val="00312DD4"/>
    <w:rsid w:val="00316024"/>
    <w:rsid w:val="00316557"/>
    <w:rsid w:val="003165A9"/>
    <w:rsid w:val="00316C5E"/>
    <w:rsid w:val="0031793B"/>
    <w:rsid w:val="003200CE"/>
    <w:rsid w:val="003203F4"/>
    <w:rsid w:val="0032088B"/>
    <w:rsid w:val="00320C22"/>
    <w:rsid w:val="0032217F"/>
    <w:rsid w:val="003242E1"/>
    <w:rsid w:val="003247EB"/>
    <w:rsid w:val="00324FA3"/>
    <w:rsid w:val="00325113"/>
    <w:rsid w:val="00325BE3"/>
    <w:rsid w:val="0033076B"/>
    <w:rsid w:val="003324DB"/>
    <w:rsid w:val="0033326D"/>
    <w:rsid w:val="003335A3"/>
    <w:rsid w:val="00333B1C"/>
    <w:rsid w:val="00333C41"/>
    <w:rsid w:val="003341BB"/>
    <w:rsid w:val="0033480E"/>
    <w:rsid w:val="00340634"/>
    <w:rsid w:val="0034067D"/>
    <w:rsid w:val="003409AE"/>
    <w:rsid w:val="003409C8"/>
    <w:rsid w:val="00340AD8"/>
    <w:rsid w:val="00340E3E"/>
    <w:rsid w:val="00341D50"/>
    <w:rsid w:val="00341DE8"/>
    <w:rsid w:val="003423A9"/>
    <w:rsid w:val="00342911"/>
    <w:rsid w:val="0034293E"/>
    <w:rsid w:val="0034299F"/>
    <w:rsid w:val="00342BA3"/>
    <w:rsid w:val="003438B6"/>
    <w:rsid w:val="00344109"/>
    <w:rsid w:val="003448C9"/>
    <w:rsid w:val="003449FA"/>
    <w:rsid w:val="003451E6"/>
    <w:rsid w:val="0034529A"/>
    <w:rsid w:val="00345652"/>
    <w:rsid w:val="00345C67"/>
    <w:rsid w:val="00345E6E"/>
    <w:rsid w:val="003467B1"/>
    <w:rsid w:val="00346968"/>
    <w:rsid w:val="00346C0F"/>
    <w:rsid w:val="0034708D"/>
    <w:rsid w:val="003474EA"/>
    <w:rsid w:val="00347943"/>
    <w:rsid w:val="00350630"/>
    <w:rsid w:val="003506DC"/>
    <w:rsid w:val="00350F5A"/>
    <w:rsid w:val="00351A76"/>
    <w:rsid w:val="003527E1"/>
    <w:rsid w:val="00353774"/>
    <w:rsid w:val="00353ABC"/>
    <w:rsid w:val="00354D73"/>
    <w:rsid w:val="00355BAF"/>
    <w:rsid w:val="003561AC"/>
    <w:rsid w:val="003566C0"/>
    <w:rsid w:val="003568A6"/>
    <w:rsid w:val="00357069"/>
    <w:rsid w:val="003572F7"/>
    <w:rsid w:val="00360FB7"/>
    <w:rsid w:val="00361006"/>
    <w:rsid w:val="003610E7"/>
    <w:rsid w:val="00361E55"/>
    <w:rsid w:val="00362801"/>
    <w:rsid w:val="00363538"/>
    <w:rsid w:val="003636EC"/>
    <w:rsid w:val="00364E01"/>
    <w:rsid w:val="0036624F"/>
    <w:rsid w:val="003663F6"/>
    <w:rsid w:val="00366955"/>
    <w:rsid w:val="00366FB2"/>
    <w:rsid w:val="003707D4"/>
    <w:rsid w:val="0037223C"/>
    <w:rsid w:val="0037297C"/>
    <w:rsid w:val="00373559"/>
    <w:rsid w:val="0037381E"/>
    <w:rsid w:val="003740BB"/>
    <w:rsid w:val="00374B44"/>
    <w:rsid w:val="003750E3"/>
    <w:rsid w:val="00376293"/>
    <w:rsid w:val="00376EC7"/>
    <w:rsid w:val="00380F2C"/>
    <w:rsid w:val="00381D85"/>
    <w:rsid w:val="00381E18"/>
    <w:rsid w:val="003827F1"/>
    <w:rsid w:val="003830FB"/>
    <w:rsid w:val="003838E8"/>
    <w:rsid w:val="00383B15"/>
    <w:rsid w:val="00384B21"/>
    <w:rsid w:val="00384F85"/>
    <w:rsid w:val="00385B72"/>
    <w:rsid w:val="0038642A"/>
    <w:rsid w:val="003878CE"/>
    <w:rsid w:val="00387F06"/>
    <w:rsid w:val="00391547"/>
    <w:rsid w:val="00391F86"/>
    <w:rsid w:val="0039233D"/>
    <w:rsid w:val="00392607"/>
    <w:rsid w:val="003931C6"/>
    <w:rsid w:val="00393F22"/>
    <w:rsid w:val="003940C7"/>
    <w:rsid w:val="00394D42"/>
    <w:rsid w:val="003952BC"/>
    <w:rsid w:val="00395365"/>
    <w:rsid w:val="00395FF1"/>
    <w:rsid w:val="003961F8"/>
    <w:rsid w:val="00397A64"/>
    <w:rsid w:val="003A1FEF"/>
    <w:rsid w:val="003A28F9"/>
    <w:rsid w:val="003A4634"/>
    <w:rsid w:val="003A4F1B"/>
    <w:rsid w:val="003A528A"/>
    <w:rsid w:val="003A625A"/>
    <w:rsid w:val="003A68F8"/>
    <w:rsid w:val="003A6BC4"/>
    <w:rsid w:val="003A78D5"/>
    <w:rsid w:val="003A7E06"/>
    <w:rsid w:val="003B008C"/>
    <w:rsid w:val="003B0323"/>
    <w:rsid w:val="003B08AB"/>
    <w:rsid w:val="003B0D28"/>
    <w:rsid w:val="003B1AA1"/>
    <w:rsid w:val="003B2935"/>
    <w:rsid w:val="003B2AF3"/>
    <w:rsid w:val="003B2B96"/>
    <w:rsid w:val="003B3046"/>
    <w:rsid w:val="003B39E7"/>
    <w:rsid w:val="003B3DF9"/>
    <w:rsid w:val="003B47DC"/>
    <w:rsid w:val="003B48B0"/>
    <w:rsid w:val="003B4A49"/>
    <w:rsid w:val="003B5504"/>
    <w:rsid w:val="003B5847"/>
    <w:rsid w:val="003B5D98"/>
    <w:rsid w:val="003B6344"/>
    <w:rsid w:val="003B7297"/>
    <w:rsid w:val="003B7698"/>
    <w:rsid w:val="003C0203"/>
    <w:rsid w:val="003C021D"/>
    <w:rsid w:val="003C0839"/>
    <w:rsid w:val="003C154C"/>
    <w:rsid w:val="003C287E"/>
    <w:rsid w:val="003C5810"/>
    <w:rsid w:val="003C5BB9"/>
    <w:rsid w:val="003C6CE0"/>
    <w:rsid w:val="003C6F40"/>
    <w:rsid w:val="003C76D2"/>
    <w:rsid w:val="003D1ED2"/>
    <w:rsid w:val="003D3207"/>
    <w:rsid w:val="003D35D0"/>
    <w:rsid w:val="003D3815"/>
    <w:rsid w:val="003D442C"/>
    <w:rsid w:val="003D5FB0"/>
    <w:rsid w:val="003D6243"/>
    <w:rsid w:val="003D65FD"/>
    <w:rsid w:val="003E13F7"/>
    <w:rsid w:val="003E1537"/>
    <w:rsid w:val="003E1AA8"/>
    <w:rsid w:val="003E1E5A"/>
    <w:rsid w:val="003E1EAB"/>
    <w:rsid w:val="003E2D1A"/>
    <w:rsid w:val="003E3010"/>
    <w:rsid w:val="003E3C8A"/>
    <w:rsid w:val="003E4562"/>
    <w:rsid w:val="003E4985"/>
    <w:rsid w:val="003E515B"/>
    <w:rsid w:val="003E54D1"/>
    <w:rsid w:val="003E6395"/>
    <w:rsid w:val="003E6ACB"/>
    <w:rsid w:val="003E7818"/>
    <w:rsid w:val="003E7D0B"/>
    <w:rsid w:val="003F0367"/>
    <w:rsid w:val="003F0B53"/>
    <w:rsid w:val="003F1AA7"/>
    <w:rsid w:val="003F1C68"/>
    <w:rsid w:val="003F277C"/>
    <w:rsid w:val="003F3E02"/>
    <w:rsid w:val="003F3EDC"/>
    <w:rsid w:val="003F43A4"/>
    <w:rsid w:val="003F4948"/>
    <w:rsid w:val="003F5B43"/>
    <w:rsid w:val="003F65AF"/>
    <w:rsid w:val="003F6809"/>
    <w:rsid w:val="00400644"/>
    <w:rsid w:val="00400ABD"/>
    <w:rsid w:val="00401B50"/>
    <w:rsid w:val="00401D79"/>
    <w:rsid w:val="00402D74"/>
    <w:rsid w:val="004035E6"/>
    <w:rsid w:val="00404D9E"/>
    <w:rsid w:val="00405E6B"/>
    <w:rsid w:val="00406235"/>
    <w:rsid w:val="004072BF"/>
    <w:rsid w:val="00407B09"/>
    <w:rsid w:val="00407DF6"/>
    <w:rsid w:val="00410490"/>
    <w:rsid w:val="00411860"/>
    <w:rsid w:val="00412A8B"/>
    <w:rsid w:val="00412C9C"/>
    <w:rsid w:val="00412DCC"/>
    <w:rsid w:val="0041300A"/>
    <w:rsid w:val="00416237"/>
    <w:rsid w:val="00417203"/>
    <w:rsid w:val="00417C30"/>
    <w:rsid w:val="00420B7B"/>
    <w:rsid w:val="004211E9"/>
    <w:rsid w:val="00421414"/>
    <w:rsid w:val="004221FA"/>
    <w:rsid w:val="00422426"/>
    <w:rsid w:val="00422840"/>
    <w:rsid w:val="00422E1C"/>
    <w:rsid w:val="0042309E"/>
    <w:rsid w:val="00423B89"/>
    <w:rsid w:val="00423E2C"/>
    <w:rsid w:val="004242D1"/>
    <w:rsid w:val="0042462F"/>
    <w:rsid w:val="00424DE5"/>
    <w:rsid w:val="00426203"/>
    <w:rsid w:val="0043044E"/>
    <w:rsid w:val="00430B7D"/>
    <w:rsid w:val="004313C6"/>
    <w:rsid w:val="004314F2"/>
    <w:rsid w:val="00431508"/>
    <w:rsid w:val="00431ECC"/>
    <w:rsid w:val="00431FDD"/>
    <w:rsid w:val="00432784"/>
    <w:rsid w:val="00432979"/>
    <w:rsid w:val="00433412"/>
    <w:rsid w:val="00433D56"/>
    <w:rsid w:val="00433DC8"/>
    <w:rsid w:val="00433DFD"/>
    <w:rsid w:val="004357CC"/>
    <w:rsid w:val="00435D34"/>
    <w:rsid w:val="00437373"/>
    <w:rsid w:val="00441F08"/>
    <w:rsid w:val="0044232C"/>
    <w:rsid w:val="00442C6C"/>
    <w:rsid w:val="00443295"/>
    <w:rsid w:val="00443B02"/>
    <w:rsid w:val="004449DD"/>
    <w:rsid w:val="0044580E"/>
    <w:rsid w:val="00445E05"/>
    <w:rsid w:val="00447497"/>
    <w:rsid w:val="004500E0"/>
    <w:rsid w:val="00450CE4"/>
    <w:rsid w:val="00450DE2"/>
    <w:rsid w:val="00452CEB"/>
    <w:rsid w:val="00453B12"/>
    <w:rsid w:val="00454144"/>
    <w:rsid w:val="00454420"/>
    <w:rsid w:val="00454604"/>
    <w:rsid w:val="004547CB"/>
    <w:rsid w:val="00456B18"/>
    <w:rsid w:val="004606AD"/>
    <w:rsid w:val="00461620"/>
    <w:rsid w:val="00461669"/>
    <w:rsid w:val="004623C3"/>
    <w:rsid w:val="00462C59"/>
    <w:rsid w:val="00463205"/>
    <w:rsid w:val="00463AB6"/>
    <w:rsid w:val="00464CC9"/>
    <w:rsid w:val="00465209"/>
    <w:rsid w:val="00465556"/>
    <w:rsid w:val="0046656C"/>
    <w:rsid w:val="00466EA0"/>
    <w:rsid w:val="0046700E"/>
    <w:rsid w:val="004671AF"/>
    <w:rsid w:val="00467BF8"/>
    <w:rsid w:val="00470479"/>
    <w:rsid w:val="00470524"/>
    <w:rsid w:val="00470BEF"/>
    <w:rsid w:val="00470C84"/>
    <w:rsid w:val="00471150"/>
    <w:rsid w:val="00471630"/>
    <w:rsid w:val="004728F2"/>
    <w:rsid w:val="0047295F"/>
    <w:rsid w:val="00472E06"/>
    <w:rsid w:val="00472E7C"/>
    <w:rsid w:val="00473097"/>
    <w:rsid w:val="004743F4"/>
    <w:rsid w:val="004750DA"/>
    <w:rsid w:val="004760B1"/>
    <w:rsid w:val="00476BA2"/>
    <w:rsid w:val="0048034F"/>
    <w:rsid w:val="00480822"/>
    <w:rsid w:val="004808CF"/>
    <w:rsid w:val="00480BE8"/>
    <w:rsid w:val="004835D6"/>
    <w:rsid w:val="004843F1"/>
    <w:rsid w:val="00484A29"/>
    <w:rsid w:val="00484D9A"/>
    <w:rsid w:val="00484EA7"/>
    <w:rsid w:val="00485663"/>
    <w:rsid w:val="004856B0"/>
    <w:rsid w:val="004863EB"/>
    <w:rsid w:val="004867C8"/>
    <w:rsid w:val="00487D8A"/>
    <w:rsid w:val="00490234"/>
    <w:rsid w:val="004919CE"/>
    <w:rsid w:val="004919E5"/>
    <w:rsid w:val="00492391"/>
    <w:rsid w:val="004925EF"/>
    <w:rsid w:val="00492843"/>
    <w:rsid w:val="00492971"/>
    <w:rsid w:val="004931F4"/>
    <w:rsid w:val="004939FC"/>
    <w:rsid w:val="004942E3"/>
    <w:rsid w:val="00494AB3"/>
    <w:rsid w:val="00494C96"/>
    <w:rsid w:val="00495C10"/>
    <w:rsid w:val="004961D2"/>
    <w:rsid w:val="00496A10"/>
    <w:rsid w:val="00497B1E"/>
    <w:rsid w:val="004A0058"/>
    <w:rsid w:val="004A066F"/>
    <w:rsid w:val="004A0D10"/>
    <w:rsid w:val="004A119E"/>
    <w:rsid w:val="004A11F8"/>
    <w:rsid w:val="004A21F1"/>
    <w:rsid w:val="004A2BCD"/>
    <w:rsid w:val="004A2ED2"/>
    <w:rsid w:val="004A3711"/>
    <w:rsid w:val="004A37F2"/>
    <w:rsid w:val="004A4492"/>
    <w:rsid w:val="004A57FA"/>
    <w:rsid w:val="004A593B"/>
    <w:rsid w:val="004A617F"/>
    <w:rsid w:val="004A71E9"/>
    <w:rsid w:val="004A78C7"/>
    <w:rsid w:val="004A7C8D"/>
    <w:rsid w:val="004B03D3"/>
    <w:rsid w:val="004B0B2E"/>
    <w:rsid w:val="004B13F1"/>
    <w:rsid w:val="004B1F63"/>
    <w:rsid w:val="004B2355"/>
    <w:rsid w:val="004B2843"/>
    <w:rsid w:val="004B3556"/>
    <w:rsid w:val="004B4031"/>
    <w:rsid w:val="004B62E4"/>
    <w:rsid w:val="004B7223"/>
    <w:rsid w:val="004B7714"/>
    <w:rsid w:val="004C0DE8"/>
    <w:rsid w:val="004C0FA8"/>
    <w:rsid w:val="004C1747"/>
    <w:rsid w:val="004C46A1"/>
    <w:rsid w:val="004C500F"/>
    <w:rsid w:val="004C5991"/>
    <w:rsid w:val="004C5F1E"/>
    <w:rsid w:val="004C6544"/>
    <w:rsid w:val="004C72D5"/>
    <w:rsid w:val="004C74FF"/>
    <w:rsid w:val="004D045E"/>
    <w:rsid w:val="004D0953"/>
    <w:rsid w:val="004D0FC8"/>
    <w:rsid w:val="004D1788"/>
    <w:rsid w:val="004D2AE8"/>
    <w:rsid w:val="004D3FC8"/>
    <w:rsid w:val="004D5CA6"/>
    <w:rsid w:val="004D6031"/>
    <w:rsid w:val="004D7BE0"/>
    <w:rsid w:val="004E030B"/>
    <w:rsid w:val="004E0CD9"/>
    <w:rsid w:val="004E0FB3"/>
    <w:rsid w:val="004E3699"/>
    <w:rsid w:val="004E38D5"/>
    <w:rsid w:val="004E3E16"/>
    <w:rsid w:val="004E5832"/>
    <w:rsid w:val="004E7FF9"/>
    <w:rsid w:val="004F3146"/>
    <w:rsid w:val="004F386B"/>
    <w:rsid w:val="004F4ECC"/>
    <w:rsid w:val="004F5256"/>
    <w:rsid w:val="004F57E7"/>
    <w:rsid w:val="004F60ED"/>
    <w:rsid w:val="005002FE"/>
    <w:rsid w:val="00500346"/>
    <w:rsid w:val="0050047B"/>
    <w:rsid w:val="0050098C"/>
    <w:rsid w:val="005009B4"/>
    <w:rsid w:val="005020FF"/>
    <w:rsid w:val="005023BF"/>
    <w:rsid w:val="00503E0A"/>
    <w:rsid w:val="00504955"/>
    <w:rsid w:val="00505125"/>
    <w:rsid w:val="00505222"/>
    <w:rsid w:val="00505D1F"/>
    <w:rsid w:val="00506CBC"/>
    <w:rsid w:val="00510068"/>
    <w:rsid w:val="0051186F"/>
    <w:rsid w:val="00511975"/>
    <w:rsid w:val="00511E2A"/>
    <w:rsid w:val="0051225B"/>
    <w:rsid w:val="005133CA"/>
    <w:rsid w:val="00513499"/>
    <w:rsid w:val="00513A64"/>
    <w:rsid w:val="00515BBF"/>
    <w:rsid w:val="00515CFF"/>
    <w:rsid w:val="0051606E"/>
    <w:rsid w:val="00517054"/>
    <w:rsid w:val="00521D94"/>
    <w:rsid w:val="005220CE"/>
    <w:rsid w:val="0052498D"/>
    <w:rsid w:val="00524E28"/>
    <w:rsid w:val="00526293"/>
    <w:rsid w:val="00526B57"/>
    <w:rsid w:val="00527958"/>
    <w:rsid w:val="00530547"/>
    <w:rsid w:val="00530DC4"/>
    <w:rsid w:val="00530E59"/>
    <w:rsid w:val="00531144"/>
    <w:rsid w:val="00532FDC"/>
    <w:rsid w:val="00533A43"/>
    <w:rsid w:val="005347C0"/>
    <w:rsid w:val="00536E4E"/>
    <w:rsid w:val="00536EBD"/>
    <w:rsid w:val="005377D2"/>
    <w:rsid w:val="005406DE"/>
    <w:rsid w:val="005415C2"/>
    <w:rsid w:val="00542361"/>
    <w:rsid w:val="0054264D"/>
    <w:rsid w:val="0054346B"/>
    <w:rsid w:val="0054402E"/>
    <w:rsid w:val="00545966"/>
    <w:rsid w:val="00545C1E"/>
    <w:rsid w:val="00545E28"/>
    <w:rsid w:val="00546977"/>
    <w:rsid w:val="00546CB3"/>
    <w:rsid w:val="00546E17"/>
    <w:rsid w:val="00546F4C"/>
    <w:rsid w:val="0054702F"/>
    <w:rsid w:val="0055048D"/>
    <w:rsid w:val="0055165D"/>
    <w:rsid w:val="005517CB"/>
    <w:rsid w:val="00551D48"/>
    <w:rsid w:val="00552855"/>
    <w:rsid w:val="00552D51"/>
    <w:rsid w:val="00552FF8"/>
    <w:rsid w:val="00553AD9"/>
    <w:rsid w:val="00553B4D"/>
    <w:rsid w:val="00554953"/>
    <w:rsid w:val="005549BE"/>
    <w:rsid w:val="00554E29"/>
    <w:rsid w:val="005551DA"/>
    <w:rsid w:val="00557A03"/>
    <w:rsid w:val="0056246C"/>
    <w:rsid w:val="0056249A"/>
    <w:rsid w:val="005629BF"/>
    <w:rsid w:val="00562A8D"/>
    <w:rsid w:val="005630C5"/>
    <w:rsid w:val="00563272"/>
    <w:rsid w:val="005641F2"/>
    <w:rsid w:val="0056425B"/>
    <w:rsid w:val="00564FA2"/>
    <w:rsid w:val="00567695"/>
    <w:rsid w:val="00567B9C"/>
    <w:rsid w:val="00567CF8"/>
    <w:rsid w:val="005703B7"/>
    <w:rsid w:val="005733A7"/>
    <w:rsid w:val="00573695"/>
    <w:rsid w:val="0057380F"/>
    <w:rsid w:val="005743B5"/>
    <w:rsid w:val="00574655"/>
    <w:rsid w:val="005746C5"/>
    <w:rsid w:val="005763D0"/>
    <w:rsid w:val="0057691D"/>
    <w:rsid w:val="00577909"/>
    <w:rsid w:val="00577EA1"/>
    <w:rsid w:val="0058008C"/>
    <w:rsid w:val="00580807"/>
    <w:rsid w:val="00580945"/>
    <w:rsid w:val="00582771"/>
    <w:rsid w:val="00583477"/>
    <w:rsid w:val="0058398D"/>
    <w:rsid w:val="0058531F"/>
    <w:rsid w:val="0058538D"/>
    <w:rsid w:val="0058638E"/>
    <w:rsid w:val="00586C92"/>
    <w:rsid w:val="005870D2"/>
    <w:rsid w:val="00587901"/>
    <w:rsid w:val="005909D6"/>
    <w:rsid w:val="00590D44"/>
    <w:rsid w:val="00590DC6"/>
    <w:rsid w:val="0059136D"/>
    <w:rsid w:val="0059209E"/>
    <w:rsid w:val="00593979"/>
    <w:rsid w:val="00596237"/>
    <w:rsid w:val="0059765B"/>
    <w:rsid w:val="0059787B"/>
    <w:rsid w:val="00597A6E"/>
    <w:rsid w:val="005A278C"/>
    <w:rsid w:val="005A28E5"/>
    <w:rsid w:val="005A32D3"/>
    <w:rsid w:val="005A35B9"/>
    <w:rsid w:val="005A3668"/>
    <w:rsid w:val="005A3D0D"/>
    <w:rsid w:val="005A420F"/>
    <w:rsid w:val="005A43F6"/>
    <w:rsid w:val="005A4B5B"/>
    <w:rsid w:val="005A5578"/>
    <w:rsid w:val="005A6FCA"/>
    <w:rsid w:val="005A756E"/>
    <w:rsid w:val="005A7ADA"/>
    <w:rsid w:val="005B0036"/>
    <w:rsid w:val="005B1A0C"/>
    <w:rsid w:val="005B25F0"/>
    <w:rsid w:val="005B3265"/>
    <w:rsid w:val="005B33F8"/>
    <w:rsid w:val="005B35C2"/>
    <w:rsid w:val="005B3B6A"/>
    <w:rsid w:val="005B4966"/>
    <w:rsid w:val="005B4F4F"/>
    <w:rsid w:val="005B573D"/>
    <w:rsid w:val="005B58A7"/>
    <w:rsid w:val="005B5B2F"/>
    <w:rsid w:val="005B6512"/>
    <w:rsid w:val="005B72C0"/>
    <w:rsid w:val="005C0AB3"/>
    <w:rsid w:val="005C379B"/>
    <w:rsid w:val="005C4B1C"/>
    <w:rsid w:val="005C4C18"/>
    <w:rsid w:val="005C4E3D"/>
    <w:rsid w:val="005C4F70"/>
    <w:rsid w:val="005C53EA"/>
    <w:rsid w:val="005C5FC7"/>
    <w:rsid w:val="005D0090"/>
    <w:rsid w:val="005D03DA"/>
    <w:rsid w:val="005D1C4B"/>
    <w:rsid w:val="005D1D3B"/>
    <w:rsid w:val="005D1F87"/>
    <w:rsid w:val="005D1F8C"/>
    <w:rsid w:val="005D1FCB"/>
    <w:rsid w:val="005D2792"/>
    <w:rsid w:val="005D2CBC"/>
    <w:rsid w:val="005D4674"/>
    <w:rsid w:val="005D49A6"/>
    <w:rsid w:val="005D4B85"/>
    <w:rsid w:val="005D6EA7"/>
    <w:rsid w:val="005D7AB4"/>
    <w:rsid w:val="005D7CDF"/>
    <w:rsid w:val="005E0117"/>
    <w:rsid w:val="005E059D"/>
    <w:rsid w:val="005E0C08"/>
    <w:rsid w:val="005E0CF4"/>
    <w:rsid w:val="005E110C"/>
    <w:rsid w:val="005E2CC5"/>
    <w:rsid w:val="005E3C47"/>
    <w:rsid w:val="005E3D39"/>
    <w:rsid w:val="005E4123"/>
    <w:rsid w:val="005E453C"/>
    <w:rsid w:val="005E4BDF"/>
    <w:rsid w:val="005E528D"/>
    <w:rsid w:val="005F078B"/>
    <w:rsid w:val="005F0B48"/>
    <w:rsid w:val="005F317A"/>
    <w:rsid w:val="005F3C9B"/>
    <w:rsid w:val="005F4117"/>
    <w:rsid w:val="005F430B"/>
    <w:rsid w:val="005F43D4"/>
    <w:rsid w:val="005F475A"/>
    <w:rsid w:val="005F56AC"/>
    <w:rsid w:val="005F56CE"/>
    <w:rsid w:val="005F7E60"/>
    <w:rsid w:val="00600006"/>
    <w:rsid w:val="00600400"/>
    <w:rsid w:val="0060115E"/>
    <w:rsid w:val="00601A64"/>
    <w:rsid w:val="00601D1A"/>
    <w:rsid w:val="00602D25"/>
    <w:rsid w:val="00603E1D"/>
    <w:rsid w:val="00603F56"/>
    <w:rsid w:val="0060440C"/>
    <w:rsid w:val="006055C5"/>
    <w:rsid w:val="006055F3"/>
    <w:rsid w:val="00606FAF"/>
    <w:rsid w:val="0061118D"/>
    <w:rsid w:val="0061166E"/>
    <w:rsid w:val="006117B1"/>
    <w:rsid w:val="00611C3A"/>
    <w:rsid w:val="00612930"/>
    <w:rsid w:val="00612EE9"/>
    <w:rsid w:val="006131D9"/>
    <w:rsid w:val="00613566"/>
    <w:rsid w:val="00613A13"/>
    <w:rsid w:val="0061473F"/>
    <w:rsid w:val="00614CF3"/>
    <w:rsid w:val="006159E4"/>
    <w:rsid w:val="00615EAE"/>
    <w:rsid w:val="00616146"/>
    <w:rsid w:val="00616338"/>
    <w:rsid w:val="00616806"/>
    <w:rsid w:val="0062001B"/>
    <w:rsid w:val="00622DD5"/>
    <w:rsid w:val="00625C8D"/>
    <w:rsid w:val="006264FE"/>
    <w:rsid w:val="006268B2"/>
    <w:rsid w:val="00626E95"/>
    <w:rsid w:val="00627B76"/>
    <w:rsid w:val="00630B06"/>
    <w:rsid w:val="00631489"/>
    <w:rsid w:val="006316BF"/>
    <w:rsid w:val="00632FDA"/>
    <w:rsid w:val="00633E1D"/>
    <w:rsid w:val="0063448E"/>
    <w:rsid w:val="00636316"/>
    <w:rsid w:val="006405F9"/>
    <w:rsid w:val="00640FB9"/>
    <w:rsid w:val="0064145A"/>
    <w:rsid w:val="00642765"/>
    <w:rsid w:val="006428D1"/>
    <w:rsid w:val="006434E4"/>
    <w:rsid w:val="0064350A"/>
    <w:rsid w:val="00643993"/>
    <w:rsid w:val="00643A3A"/>
    <w:rsid w:val="00644D23"/>
    <w:rsid w:val="006453E3"/>
    <w:rsid w:val="00646A14"/>
    <w:rsid w:val="00646D64"/>
    <w:rsid w:val="00650342"/>
    <w:rsid w:val="00650BE7"/>
    <w:rsid w:val="006510A3"/>
    <w:rsid w:val="00651117"/>
    <w:rsid w:val="00652E35"/>
    <w:rsid w:val="00653010"/>
    <w:rsid w:val="0065361C"/>
    <w:rsid w:val="00654397"/>
    <w:rsid w:val="00654725"/>
    <w:rsid w:val="00654E3C"/>
    <w:rsid w:val="00655D1B"/>
    <w:rsid w:val="0065749A"/>
    <w:rsid w:val="00660D31"/>
    <w:rsid w:val="00661270"/>
    <w:rsid w:val="00663A9A"/>
    <w:rsid w:val="0066423F"/>
    <w:rsid w:val="00664ABB"/>
    <w:rsid w:val="00664EDE"/>
    <w:rsid w:val="0066520F"/>
    <w:rsid w:val="00665347"/>
    <w:rsid w:val="00665569"/>
    <w:rsid w:val="00665B46"/>
    <w:rsid w:val="0066790E"/>
    <w:rsid w:val="00667B75"/>
    <w:rsid w:val="00670E35"/>
    <w:rsid w:val="00671302"/>
    <w:rsid w:val="00671F8D"/>
    <w:rsid w:val="006736DA"/>
    <w:rsid w:val="006741A1"/>
    <w:rsid w:val="006743CA"/>
    <w:rsid w:val="006746B4"/>
    <w:rsid w:val="00674A18"/>
    <w:rsid w:val="00675A39"/>
    <w:rsid w:val="00676A09"/>
    <w:rsid w:val="00676E21"/>
    <w:rsid w:val="006778A4"/>
    <w:rsid w:val="006809FE"/>
    <w:rsid w:val="00680A14"/>
    <w:rsid w:val="00681347"/>
    <w:rsid w:val="00681803"/>
    <w:rsid w:val="00682FD4"/>
    <w:rsid w:val="0068325B"/>
    <w:rsid w:val="00684853"/>
    <w:rsid w:val="00684C5D"/>
    <w:rsid w:val="00684D0B"/>
    <w:rsid w:val="00686D27"/>
    <w:rsid w:val="00687AF4"/>
    <w:rsid w:val="00690CCD"/>
    <w:rsid w:val="006913B3"/>
    <w:rsid w:val="006914C9"/>
    <w:rsid w:val="0069254E"/>
    <w:rsid w:val="0069426C"/>
    <w:rsid w:val="00694B60"/>
    <w:rsid w:val="00695CB4"/>
    <w:rsid w:val="00696BC7"/>
    <w:rsid w:val="00697CF1"/>
    <w:rsid w:val="006A1FDA"/>
    <w:rsid w:val="006A2485"/>
    <w:rsid w:val="006A257A"/>
    <w:rsid w:val="006A26AF"/>
    <w:rsid w:val="006A26B5"/>
    <w:rsid w:val="006A3173"/>
    <w:rsid w:val="006A33A0"/>
    <w:rsid w:val="006A355A"/>
    <w:rsid w:val="006A35FB"/>
    <w:rsid w:val="006A4054"/>
    <w:rsid w:val="006A4ADD"/>
    <w:rsid w:val="006A53A9"/>
    <w:rsid w:val="006A57D3"/>
    <w:rsid w:val="006B0129"/>
    <w:rsid w:val="006B0D51"/>
    <w:rsid w:val="006B11B9"/>
    <w:rsid w:val="006B11F0"/>
    <w:rsid w:val="006B17A0"/>
    <w:rsid w:val="006B29FD"/>
    <w:rsid w:val="006B427F"/>
    <w:rsid w:val="006B43CA"/>
    <w:rsid w:val="006B4885"/>
    <w:rsid w:val="006B531D"/>
    <w:rsid w:val="006B595F"/>
    <w:rsid w:val="006B5D87"/>
    <w:rsid w:val="006B69B1"/>
    <w:rsid w:val="006B71C4"/>
    <w:rsid w:val="006B7239"/>
    <w:rsid w:val="006B7C24"/>
    <w:rsid w:val="006C05FF"/>
    <w:rsid w:val="006C0E65"/>
    <w:rsid w:val="006C2239"/>
    <w:rsid w:val="006C29B2"/>
    <w:rsid w:val="006C3193"/>
    <w:rsid w:val="006C33BF"/>
    <w:rsid w:val="006C36DF"/>
    <w:rsid w:val="006C486E"/>
    <w:rsid w:val="006C4901"/>
    <w:rsid w:val="006C5131"/>
    <w:rsid w:val="006C5976"/>
    <w:rsid w:val="006C66A2"/>
    <w:rsid w:val="006C6B41"/>
    <w:rsid w:val="006C6BA1"/>
    <w:rsid w:val="006C70C2"/>
    <w:rsid w:val="006C7F64"/>
    <w:rsid w:val="006D032F"/>
    <w:rsid w:val="006D0E16"/>
    <w:rsid w:val="006D2441"/>
    <w:rsid w:val="006D3AEE"/>
    <w:rsid w:val="006D5FE9"/>
    <w:rsid w:val="006D6B8E"/>
    <w:rsid w:val="006D79FB"/>
    <w:rsid w:val="006D7F20"/>
    <w:rsid w:val="006E00BF"/>
    <w:rsid w:val="006E0B46"/>
    <w:rsid w:val="006E1947"/>
    <w:rsid w:val="006E1965"/>
    <w:rsid w:val="006E1D15"/>
    <w:rsid w:val="006E1D3C"/>
    <w:rsid w:val="006E3646"/>
    <w:rsid w:val="006E3A01"/>
    <w:rsid w:val="006E3E67"/>
    <w:rsid w:val="006E4FEA"/>
    <w:rsid w:val="006E6B32"/>
    <w:rsid w:val="006E7C6E"/>
    <w:rsid w:val="006F2335"/>
    <w:rsid w:val="006F2385"/>
    <w:rsid w:val="006F6241"/>
    <w:rsid w:val="006F69FC"/>
    <w:rsid w:val="006F6C51"/>
    <w:rsid w:val="00700930"/>
    <w:rsid w:val="00700D36"/>
    <w:rsid w:val="007011B2"/>
    <w:rsid w:val="00701D53"/>
    <w:rsid w:val="00702246"/>
    <w:rsid w:val="00702C50"/>
    <w:rsid w:val="007031BE"/>
    <w:rsid w:val="007032DB"/>
    <w:rsid w:val="007034A5"/>
    <w:rsid w:val="007036E2"/>
    <w:rsid w:val="00703C2F"/>
    <w:rsid w:val="00704382"/>
    <w:rsid w:val="007057AF"/>
    <w:rsid w:val="00705D1E"/>
    <w:rsid w:val="00706F5E"/>
    <w:rsid w:val="007072B6"/>
    <w:rsid w:val="00707D94"/>
    <w:rsid w:val="00710D0F"/>
    <w:rsid w:val="00712B9E"/>
    <w:rsid w:val="007133A3"/>
    <w:rsid w:val="00713CA2"/>
    <w:rsid w:val="007140E0"/>
    <w:rsid w:val="00714A99"/>
    <w:rsid w:val="00715C14"/>
    <w:rsid w:val="00716C54"/>
    <w:rsid w:val="00717DD6"/>
    <w:rsid w:val="00717EEC"/>
    <w:rsid w:val="00720061"/>
    <w:rsid w:val="007210C2"/>
    <w:rsid w:val="007213B0"/>
    <w:rsid w:val="007214E1"/>
    <w:rsid w:val="0072150F"/>
    <w:rsid w:val="00722245"/>
    <w:rsid w:val="007232CE"/>
    <w:rsid w:val="0072383A"/>
    <w:rsid w:val="00723DEB"/>
    <w:rsid w:val="00724D9F"/>
    <w:rsid w:val="007256F0"/>
    <w:rsid w:val="007277DD"/>
    <w:rsid w:val="007301FF"/>
    <w:rsid w:val="00730974"/>
    <w:rsid w:val="00731A00"/>
    <w:rsid w:val="0073218B"/>
    <w:rsid w:val="007323AF"/>
    <w:rsid w:val="00732932"/>
    <w:rsid w:val="007329F8"/>
    <w:rsid w:val="0073437C"/>
    <w:rsid w:val="007346C4"/>
    <w:rsid w:val="00734A36"/>
    <w:rsid w:val="0073516D"/>
    <w:rsid w:val="007353C7"/>
    <w:rsid w:val="00740677"/>
    <w:rsid w:val="00740E85"/>
    <w:rsid w:val="007415E8"/>
    <w:rsid w:val="0074186E"/>
    <w:rsid w:val="00741B0F"/>
    <w:rsid w:val="007425B0"/>
    <w:rsid w:val="00743317"/>
    <w:rsid w:val="007442DB"/>
    <w:rsid w:val="007443B2"/>
    <w:rsid w:val="00744DF7"/>
    <w:rsid w:val="00745C98"/>
    <w:rsid w:val="00746681"/>
    <w:rsid w:val="00746AC4"/>
    <w:rsid w:val="00746C18"/>
    <w:rsid w:val="00747250"/>
    <w:rsid w:val="007474A7"/>
    <w:rsid w:val="00747AEE"/>
    <w:rsid w:val="0075077D"/>
    <w:rsid w:val="00750AF1"/>
    <w:rsid w:val="00750B80"/>
    <w:rsid w:val="00750BCF"/>
    <w:rsid w:val="00750EB8"/>
    <w:rsid w:val="00751D0A"/>
    <w:rsid w:val="007533E9"/>
    <w:rsid w:val="00754426"/>
    <w:rsid w:val="0075472B"/>
    <w:rsid w:val="00754BDB"/>
    <w:rsid w:val="007551FF"/>
    <w:rsid w:val="00755F83"/>
    <w:rsid w:val="00760957"/>
    <w:rsid w:val="00761BAE"/>
    <w:rsid w:val="007623FE"/>
    <w:rsid w:val="00762735"/>
    <w:rsid w:val="0076283E"/>
    <w:rsid w:val="00762AAA"/>
    <w:rsid w:val="00762D55"/>
    <w:rsid w:val="00762E49"/>
    <w:rsid w:val="007633B2"/>
    <w:rsid w:val="0076353F"/>
    <w:rsid w:val="00763571"/>
    <w:rsid w:val="00763D2E"/>
    <w:rsid w:val="007647EE"/>
    <w:rsid w:val="00765D43"/>
    <w:rsid w:val="007662FA"/>
    <w:rsid w:val="00767C34"/>
    <w:rsid w:val="0077123B"/>
    <w:rsid w:val="00771668"/>
    <w:rsid w:val="00772270"/>
    <w:rsid w:val="007724B9"/>
    <w:rsid w:val="0077278A"/>
    <w:rsid w:val="00773C95"/>
    <w:rsid w:val="007745E2"/>
    <w:rsid w:val="0077479E"/>
    <w:rsid w:val="0077689D"/>
    <w:rsid w:val="00777208"/>
    <w:rsid w:val="007777CF"/>
    <w:rsid w:val="0078075A"/>
    <w:rsid w:val="007814A3"/>
    <w:rsid w:val="007825DB"/>
    <w:rsid w:val="00783F93"/>
    <w:rsid w:val="00784236"/>
    <w:rsid w:val="0078503F"/>
    <w:rsid w:val="0078520E"/>
    <w:rsid w:val="00790291"/>
    <w:rsid w:val="00791958"/>
    <w:rsid w:val="00791AAE"/>
    <w:rsid w:val="00791E05"/>
    <w:rsid w:val="0079351D"/>
    <w:rsid w:val="00793937"/>
    <w:rsid w:val="00793B6B"/>
    <w:rsid w:val="007943A0"/>
    <w:rsid w:val="00794918"/>
    <w:rsid w:val="007959AA"/>
    <w:rsid w:val="00795FF2"/>
    <w:rsid w:val="00796BC2"/>
    <w:rsid w:val="0079705A"/>
    <w:rsid w:val="007A00E8"/>
    <w:rsid w:val="007A0C80"/>
    <w:rsid w:val="007A160E"/>
    <w:rsid w:val="007A20C8"/>
    <w:rsid w:val="007A30F5"/>
    <w:rsid w:val="007A42C5"/>
    <w:rsid w:val="007A4A35"/>
    <w:rsid w:val="007A52A0"/>
    <w:rsid w:val="007A54B7"/>
    <w:rsid w:val="007A63F2"/>
    <w:rsid w:val="007A71E7"/>
    <w:rsid w:val="007B019E"/>
    <w:rsid w:val="007B0CD2"/>
    <w:rsid w:val="007B29ED"/>
    <w:rsid w:val="007B2A03"/>
    <w:rsid w:val="007B4AC5"/>
    <w:rsid w:val="007B53CB"/>
    <w:rsid w:val="007B6276"/>
    <w:rsid w:val="007B75CF"/>
    <w:rsid w:val="007B7FC9"/>
    <w:rsid w:val="007C00EB"/>
    <w:rsid w:val="007C13F2"/>
    <w:rsid w:val="007C180F"/>
    <w:rsid w:val="007C18F7"/>
    <w:rsid w:val="007C19DA"/>
    <w:rsid w:val="007C2302"/>
    <w:rsid w:val="007C2920"/>
    <w:rsid w:val="007C2B0F"/>
    <w:rsid w:val="007C2F14"/>
    <w:rsid w:val="007C3334"/>
    <w:rsid w:val="007C5A9E"/>
    <w:rsid w:val="007C6218"/>
    <w:rsid w:val="007C6E4B"/>
    <w:rsid w:val="007C74D3"/>
    <w:rsid w:val="007C7A3B"/>
    <w:rsid w:val="007D1AE8"/>
    <w:rsid w:val="007D1B0D"/>
    <w:rsid w:val="007D214C"/>
    <w:rsid w:val="007D23D3"/>
    <w:rsid w:val="007D31FF"/>
    <w:rsid w:val="007D6508"/>
    <w:rsid w:val="007D7D67"/>
    <w:rsid w:val="007E12A7"/>
    <w:rsid w:val="007E130D"/>
    <w:rsid w:val="007E2CE4"/>
    <w:rsid w:val="007E4C5D"/>
    <w:rsid w:val="007E4CC0"/>
    <w:rsid w:val="007E4E48"/>
    <w:rsid w:val="007E4F3F"/>
    <w:rsid w:val="007E5130"/>
    <w:rsid w:val="007E6208"/>
    <w:rsid w:val="007E71DF"/>
    <w:rsid w:val="007E770F"/>
    <w:rsid w:val="007E7B10"/>
    <w:rsid w:val="007F186D"/>
    <w:rsid w:val="007F3951"/>
    <w:rsid w:val="007F40E6"/>
    <w:rsid w:val="007F4F80"/>
    <w:rsid w:val="007F594A"/>
    <w:rsid w:val="007F5B51"/>
    <w:rsid w:val="007F5C7F"/>
    <w:rsid w:val="007F69F9"/>
    <w:rsid w:val="007F6DB0"/>
    <w:rsid w:val="007F71D2"/>
    <w:rsid w:val="00800736"/>
    <w:rsid w:val="00801EE9"/>
    <w:rsid w:val="008033FF"/>
    <w:rsid w:val="00803A42"/>
    <w:rsid w:val="00803AAA"/>
    <w:rsid w:val="00804386"/>
    <w:rsid w:val="00804A35"/>
    <w:rsid w:val="00804C28"/>
    <w:rsid w:val="00804CC9"/>
    <w:rsid w:val="00805F7E"/>
    <w:rsid w:val="00807C7F"/>
    <w:rsid w:val="00810904"/>
    <w:rsid w:val="00812771"/>
    <w:rsid w:val="00812BFD"/>
    <w:rsid w:val="00813528"/>
    <w:rsid w:val="00813B10"/>
    <w:rsid w:val="00813E62"/>
    <w:rsid w:val="008151FD"/>
    <w:rsid w:val="00815405"/>
    <w:rsid w:val="0081719D"/>
    <w:rsid w:val="00817978"/>
    <w:rsid w:val="00817B2C"/>
    <w:rsid w:val="008221DF"/>
    <w:rsid w:val="00822535"/>
    <w:rsid w:val="00822B14"/>
    <w:rsid w:val="00823E35"/>
    <w:rsid w:val="00824185"/>
    <w:rsid w:val="008244CC"/>
    <w:rsid w:val="0082454C"/>
    <w:rsid w:val="00825172"/>
    <w:rsid w:val="008253E8"/>
    <w:rsid w:val="008258EF"/>
    <w:rsid w:val="00825D0A"/>
    <w:rsid w:val="00826A1C"/>
    <w:rsid w:val="00826C85"/>
    <w:rsid w:val="00827707"/>
    <w:rsid w:val="00830048"/>
    <w:rsid w:val="00830A79"/>
    <w:rsid w:val="00830BE0"/>
    <w:rsid w:val="008316C0"/>
    <w:rsid w:val="00831D9F"/>
    <w:rsid w:val="00836B86"/>
    <w:rsid w:val="00837723"/>
    <w:rsid w:val="00840637"/>
    <w:rsid w:val="00840F2D"/>
    <w:rsid w:val="00841343"/>
    <w:rsid w:val="0084166D"/>
    <w:rsid w:val="00841A85"/>
    <w:rsid w:val="00841C86"/>
    <w:rsid w:val="00841F16"/>
    <w:rsid w:val="00842799"/>
    <w:rsid w:val="008434A9"/>
    <w:rsid w:val="00843770"/>
    <w:rsid w:val="00843A5D"/>
    <w:rsid w:val="00844DBD"/>
    <w:rsid w:val="008450AB"/>
    <w:rsid w:val="00846E69"/>
    <w:rsid w:val="00847959"/>
    <w:rsid w:val="00847D64"/>
    <w:rsid w:val="00850A2E"/>
    <w:rsid w:val="008526F1"/>
    <w:rsid w:val="00852C9C"/>
    <w:rsid w:val="00853223"/>
    <w:rsid w:val="0085369D"/>
    <w:rsid w:val="00853718"/>
    <w:rsid w:val="00854F1B"/>
    <w:rsid w:val="00855057"/>
    <w:rsid w:val="00855341"/>
    <w:rsid w:val="00856FDF"/>
    <w:rsid w:val="0085715B"/>
    <w:rsid w:val="00857A58"/>
    <w:rsid w:val="008605CA"/>
    <w:rsid w:val="0086087B"/>
    <w:rsid w:val="00860AB2"/>
    <w:rsid w:val="00861296"/>
    <w:rsid w:val="008615B9"/>
    <w:rsid w:val="008625E8"/>
    <w:rsid w:val="00862ACD"/>
    <w:rsid w:val="00863545"/>
    <w:rsid w:val="00863C1D"/>
    <w:rsid w:val="008647FE"/>
    <w:rsid w:val="0086530C"/>
    <w:rsid w:val="00865550"/>
    <w:rsid w:val="00866A62"/>
    <w:rsid w:val="00866FC5"/>
    <w:rsid w:val="0087267A"/>
    <w:rsid w:val="00873E9C"/>
    <w:rsid w:val="00874E74"/>
    <w:rsid w:val="00876803"/>
    <w:rsid w:val="00877C41"/>
    <w:rsid w:val="00881AD3"/>
    <w:rsid w:val="00883339"/>
    <w:rsid w:val="00883E26"/>
    <w:rsid w:val="00884CF2"/>
    <w:rsid w:val="00885724"/>
    <w:rsid w:val="008869FC"/>
    <w:rsid w:val="00887A57"/>
    <w:rsid w:val="008902DF"/>
    <w:rsid w:val="008902FF"/>
    <w:rsid w:val="00890657"/>
    <w:rsid w:val="00891EF0"/>
    <w:rsid w:val="00893369"/>
    <w:rsid w:val="00894CA3"/>
    <w:rsid w:val="0089573D"/>
    <w:rsid w:val="008963BD"/>
    <w:rsid w:val="008A056C"/>
    <w:rsid w:val="008A143D"/>
    <w:rsid w:val="008A1745"/>
    <w:rsid w:val="008A240A"/>
    <w:rsid w:val="008A3905"/>
    <w:rsid w:val="008A3E18"/>
    <w:rsid w:val="008A422F"/>
    <w:rsid w:val="008A432A"/>
    <w:rsid w:val="008A4560"/>
    <w:rsid w:val="008A5201"/>
    <w:rsid w:val="008A5E83"/>
    <w:rsid w:val="008A6EFE"/>
    <w:rsid w:val="008A7903"/>
    <w:rsid w:val="008A7DD5"/>
    <w:rsid w:val="008B015D"/>
    <w:rsid w:val="008B12D4"/>
    <w:rsid w:val="008B1EEA"/>
    <w:rsid w:val="008B2749"/>
    <w:rsid w:val="008B4569"/>
    <w:rsid w:val="008B48B8"/>
    <w:rsid w:val="008B544C"/>
    <w:rsid w:val="008B57FD"/>
    <w:rsid w:val="008B7EF7"/>
    <w:rsid w:val="008B7F3A"/>
    <w:rsid w:val="008C0198"/>
    <w:rsid w:val="008C080B"/>
    <w:rsid w:val="008C0CD2"/>
    <w:rsid w:val="008C2E17"/>
    <w:rsid w:val="008C3BAC"/>
    <w:rsid w:val="008C41A7"/>
    <w:rsid w:val="008C6006"/>
    <w:rsid w:val="008C76AE"/>
    <w:rsid w:val="008C76DC"/>
    <w:rsid w:val="008C7870"/>
    <w:rsid w:val="008C7D7E"/>
    <w:rsid w:val="008C7DA6"/>
    <w:rsid w:val="008D05CE"/>
    <w:rsid w:val="008D117D"/>
    <w:rsid w:val="008D1C8D"/>
    <w:rsid w:val="008D1EC3"/>
    <w:rsid w:val="008D2320"/>
    <w:rsid w:val="008D260A"/>
    <w:rsid w:val="008D3D32"/>
    <w:rsid w:val="008D51F5"/>
    <w:rsid w:val="008D5272"/>
    <w:rsid w:val="008D532E"/>
    <w:rsid w:val="008D5F1C"/>
    <w:rsid w:val="008D7103"/>
    <w:rsid w:val="008D71F3"/>
    <w:rsid w:val="008E0728"/>
    <w:rsid w:val="008E118C"/>
    <w:rsid w:val="008E1715"/>
    <w:rsid w:val="008E17DC"/>
    <w:rsid w:val="008E230C"/>
    <w:rsid w:val="008E28F9"/>
    <w:rsid w:val="008E2AF7"/>
    <w:rsid w:val="008E46A8"/>
    <w:rsid w:val="008E4F17"/>
    <w:rsid w:val="008E5841"/>
    <w:rsid w:val="008E7E3E"/>
    <w:rsid w:val="008F1ADD"/>
    <w:rsid w:val="008F26BC"/>
    <w:rsid w:val="008F2C07"/>
    <w:rsid w:val="008F2DA3"/>
    <w:rsid w:val="008F4C21"/>
    <w:rsid w:val="008F5046"/>
    <w:rsid w:val="008F6F56"/>
    <w:rsid w:val="008F7BE3"/>
    <w:rsid w:val="0090002C"/>
    <w:rsid w:val="0090040E"/>
    <w:rsid w:val="00900F59"/>
    <w:rsid w:val="00901650"/>
    <w:rsid w:val="00901AC4"/>
    <w:rsid w:val="00901AD6"/>
    <w:rsid w:val="00901E0C"/>
    <w:rsid w:val="009023B4"/>
    <w:rsid w:val="009028F6"/>
    <w:rsid w:val="00903767"/>
    <w:rsid w:val="00903ECD"/>
    <w:rsid w:val="0090495C"/>
    <w:rsid w:val="00905584"/>
    <w:rsid w:val="0090563B"/>
    <w:rsid w:val="009059C7"/>
    <w:rsid w:val="00905DFD"/>
    <w:rsid w:val="009066B7"/>
    <w:rsid w:val="009108DD"/>
    <w:rsid w:val="00912145"/>
    <w:rsid w:val="009124C3"/>
    <w:rsid w:val="00912AC0"/>
    <w:rsid w:val="009131A1"/>
    <w:rsid w:val="00914F07"/>
    <w:rsid w:val="00915926"/>
    <w:rsid w:val="00915B77"/>
    <w:rsid w:val="00915EB5"/>
    <w:rsid w:val="00916C54"/>
    <w:rsid w:val="00916F41"/>
    <w:rsid w:val="00917986"/>
    <w:rsid w:val="00917EB0"/>
    <w:rsid w:val="009207C9"/>
    <w:rsid w:val="00921E0F"/>
    <w:rsid w:val="0092234B"/>
    <w:rsid w:val="0092378B"/>
    <w:rsid w:val="00924379"/>
    <w:rsid w:val="00924546"/>
    <w:rsid w:val="00924A12"/>
    <w:rsid w:val="00924A72"/>
    <w:rsid w:val="009256EB"/>
    <w:rsid w:val="00925EFD"/>
    <w:rsid w:val="009261A1"/>
    <w:rsid w:val="00926798"/>
    <w:rsid w:val="00927089"/>
    <w:rsid w:val="00927981"/>
    <w:rsid w:val="00927FEE"/>
    <w:rsid w:val="00930026"/>
    <w:rsid w:val="00930AA7"/>
    <w:rsid w:val="00930E10"/>
    <w:rsid w:val="00930E20"/>
    <w:rsid w:val="00931AD5"/>
    <w:rsid w:val="009327E1"/>
    <w:rsid w:val="00932C05"/>
    <w:rsid w:val="0093346A"/>
    <w:rsid w:val="0093385C"/>
    <w:rsid w:val="00933E1E"/>
    <w:rsid w:val="00934AEE"/>
    <w:rsid w:val="00934B98"/>
    <w:rsid w:val="009350DE"/>
    <w:rsid w:val="00936C26"/>
    <w:rsid w:val="00937882"/>
    <w:rsid w:val="009406F5"/>
    <w:rsid w:val="00941426"/>
    <w:rsid w:val="009417C0"/>
    <w:rsid w:val="00941FAB"/>
    <w:rsid w:val="00942846"/>
    <w:rsid w:val="00944586"/>
    <w:rsid w:val="00944D8A"/>
    <w:rsid w:val="009450A7"/>
    <w:rsid w:val="00945783"/>
    <w:rsid w:val="00946E01"/>
    <w:rsid w:val="0094758D"/>
    <w:rsid w:val="0094790F"/>
    <w:rsid w:val="00950453"/>
    <w:rsid w:val="009507D1"/>
    <w:rsid w:val="00950863"/>
    <w:rsid w:val="009516B8"/>
    <w:rsid w:val="009524B9"/>
    <w:rsid w:val="00952588"/>
    <w:rsid w:val="009528A2"/>
    <w:rsid w:val="00952D14"/>
    <w:rsid w:val="009530EB"/>
    <w:rsid w:val="009534C5"/>
    <w:rsid w:val="00955B81"/>
    <w:rsid w:val="00955E3E"/>
    <w:rsid w:val="009569A6"/>
    <w:rsid w:val="00957291"/>
    <w:rsid w:val="00957F4E"/>
    <w:rsid w:val="00960F79"/>
    <w:rsid w:val="00961561"/>
    <w:rsid w:val="0096361C"/>
    <w:rsid w:val="00964B26"/>
    <w:rsid w:val="00965012"/>
    <w:rsid w:val="00966519"/>
    <w:rsid w:val="0096671E"/>
    <w:rsid w:val="009669BB"/>
    <w:rsid w:val="00966F1D"/>
    <w:rsid w:val="009704B4"/>
    <w:rsid w:val="0097062A"/>
    <w:rsid w:val="0097094E"/>
    <w:rsid w:val="009711C3"/>
    <w:rsid w:val="00972436"/>
    <w:rsid w:val="009728E8"/>
    <w:rsid w:val="009729F3"/>
    <w:rsid w:val="00972CA0"/>
    <w:rsid w:val="009732B2"/>
    <w:rsid w:val="00973827"/>
    <w:rsid w:val="00973ACC"/>
    <w:rsid w:val="00974373"/>
    <w:rsid w:val="009743C1"/>
    <w:rsid w:val="00974B33"/>
    <w:rsid w:val="0097507C"/>
    <w:rsid w:val="00975435"/>
    <w:rsid w:val="0097607D"/>
    <w:rsid w:val="00976CE5"/>
    <w:rsid w:val="009775C4"/>
    <w:rsid w:val="00977A02"/>
    <w:rsid w:val="00977DC2"/>
    <w:rsid w:val="00980DE2"/>
    <w:rsid w:val="00981D36"/>
    <w:rsid w:val="00983A9A"/>
    <w:rsid w:val="00984569"/>
    <w:rsid w:val="00984676"/>
    <w:rsid w:val="0098534E"/>
    <w:rsid w:val="00985638"/>
    <w:rsid w:val="00985A0A"/>
    <w:rsid w:val="00985FD0"/>
    <w:rsid w:val="00987E86"/>
    <w:rsid w:val="00991836"/>
    <w:rsid w:val="009921A6"/>
    <w:rsid w:val="009924E1"/>
    <w:rsid w:val="0099350E"/>
    <w:rsid w:val="009939F8"/>
    <w:rsid w:val="0099437B"/>
    <w:rsid w:val="00994E0B"/>
    <w:rsid w:val="0099540A"/>
    <w:rsid w:val="00995453"/>
    <w:rsid w:val="009968A8"/>
    <w:rsid w:val="00996A28"/>
    <w:rsid w:val="00996A9D"/>
    <w:rsid w:val="009973D3"/>
    <w:rsid w:val="009A06BE"/>
    <w:rsid w:val="009A1053"/>
    <w:rsid w:val="009A29AB"/>
    <w:rsid w:val="009A33B2"/>
    <w:rsid w:val="009A4230"/>
    <w:rsid w:val="009A5DEF"/>
    <w:rsid w:val="009A5FDB"/>
    <w:rsid w:val="009A61A0"/>
    <w:rsid w:val="009A6D82"/>
    <w:rsid w:val="009A70FE"/>
    <w:rsid w:val="009A741C"/>
    <w:rsid w:val="009A77EE"/>
    <w:rsid w:val="009B0E79"/>
    <w:rsid w:val="009B1109"/>
    <w:rsid w:val="009B1E6E"/>
    <w:rsid w:val="009B3464"/>
    <w:rsid w:val="009B42B8"/>
    <w:rsid w:val="009B4575"/>
    <w:rsid w:val="009B47F0"/>
    <w:rsid w:val="009B4C33"/>
    <w:rsid w:val="009B4D49"/>
    <w:rsid w:val="009B569D"/>
    <w:rsid w:val="009B6532"/>
    <w:rsid w:val="009C019E"/>
    <w:rsid w:val="009C0874"/>
    <w:rsid w:val="009C098E"/>
    <w:rsid w:val="009C0EE3"/>
    <w:rsid w:val="009C1255"/>
    <w:rsid w:val="009C1677"/>
    <w:rsid w:val="009C316F"/>
    <w:rsid w:val="009C3BD9"/>
    <w:rsid w:val="009C3DEB"/>
    <w:rsid w:val="009C3FE6"/>
    <w:rsid w:val="009C4298"/>
    <w:rsid w:val="009C53E7"/>
    <w:rsid w:val="009C56F3"/>
    <w:rsid w:val="009C58C5"/>
    <w:rsid w:val="009C5A09"/>
    <w:rsid w:val="009C61EE"/>
    <w:rsid w:val="009C6908"/>
    <w:rsid w:val="009C70EE"/>
    <w:rsid w:val="009C7394"/>
    <w:rsid w:val="009C752D"/>
    <w:rsid w:val="009D2BE3"/>
    <w:rsid w:val="009D30E9"/>
    <w:rsid w:val="009D31CC"/>
    <w:rsid w:val="009D36A8"/>
    <w:rsid w:val="009D518E"/>
    <w:rsid w:val="009D6E5B"/>
    <w:rsid w:val="009E0088"/>
    <w:rsid w:val="009E1A6B"/>
    <w:rsid w:val="009E1FC2"/>
    <w:rsid w:val="009E2604"/>
    <w:rsid w:val="009E3E83"/>
    <w:rsid w:val="009E4387"/>
    <w:rsid w:val="009E5113"/>
    <w:rsid w:val="009E56FD"/>
    <w:rsid w:val="009F0102"/>
    <w:rsid w:val="009F01C0"/>
    <w:rsid w:val="009F1432"/>
    <w:rsid w:val="009F1B70"/>
    <w:rsid w:val="009F297E"/>
    <w:rsid w:val="00A000DF"/>
    <w:rsid w:val="00A010C6"/>
    <w:rsid w:val="00A01244"/>
    <w:rsid w:val="00A01DB1"/>
    <w:rsid w:val="00A02568"/>
    <w:rsid w:val="00A029A6"/>
    <w:rsid w:val="00A02B00"/>
    <w:rsid w:val="00A03F78"/>
    <w:rsid w:val="00A04900"/>
    <w:rsid w:val="00A05500"/>
    <w:rsid w:val="00A05B0F"/>
    <w:rsid w:val="00A05CC4"/>
    <w:rsid w:val="00A06258"/>
    <w:rsid w:val="00A0735A"/>
    <w:rsid w:val="00A07C95"/>
    <w:rsid w:val="00A07CEB"/>
    <w:rsid w:val="00A11731"/>
    <w:rsid w:val="00A117ED"/>
    <w:rsid w:val="00A11B61"/>
    <w:rsid w:val="00A12107"/>
    <w:rsid w:val="00A12C58"/>
    <w:rsid w:val="00A13163"/>
    <w:rsid w:val="00A15503"/>
    <w:rsid w:val="00A155B5"/>
    <w:rsid w:val="00A15852"/>
    <w:rsid w:val="00A15D3E"/>
    <w:rsid w:val="00A16331"/>
    <w:rsid w:val="00A16BDE"/>
    <w:rsid w:val="00A2036E"/>
    <w:rsid w:val="00A20FB0"/>
    <w:rsid w:val="00A2184F"/>
    <w:rsid w:val="00A22AE3"/>
    <w:rsid w:val="00A241FA"/>
    <w:rsid w:val="00A246DA"/>
    <w:rsid w:val="00A24FDB"/>
    <w:rsid w:val="00A252B7"/>
    <w:rsid w:val="00A25BE3"/>
    <w:rsid w:val="00A25FC4"/>
    <w:rsid w:val="00A26A50"/>
    <w:rsid w:val="00A26DCD"/>
    <w:rsid w:val="00A27FBC"/>
    <w:rsid w:val="00A30354"/>
    <w:rsid w:val="00A31064"/>
    <w:rsid w:val="00A31F9D"/>
    <w:rsid w:val="00A32D05"/>
    <w:rsid w:val="00A33286"/>
    <w:rsid w:val="00A33453"/>
    <w:rsid w:val="00A34494"/>
    <w:rsid w:val="00A344AA"/>
    <w:rsid w:val="00A3681B"/>
    <w:rsid w:val="00A36DA5"/>
    <w:rsid w:val="00A40503"/>
    <w:rsid w:val="00A40D5C"/>
    <w:rsid w:val="00A413F0"/>
    <w:rsid w:val="00A4143B"/>
    <w:rsid w:val="00A43815"/>
    <w:rsid w:val="00A44627"/>
    <w:rsid w:val="00A4472D"/>
    <w:rsid w:val="00A45DC3"/>
    <w:rsid w:val="00A46F1A"/>
    <w:rsid w:val="00A47AF1"/>
    <w:rsid w:val="00A50272"/>
    <w:rsid w:val="00A50A32"/>
    <w:rsid w:val="00A50D9C"/>
    <w:rsid w:val="00A515ED"/>
    <w:rsid w:val="00A51F66"/>
    <w:rsid w:val="00A5255F"/>
    <w:rsid w:val="00A5272B"/>
    <w:rsid w:val="00A52DEB"/>
    <w:rsid w:val="00A53314"/>
    <w:rsid w:val="00A534EB"/>
    <w:rsid w:val="00A55555"/>
    <w:rsid w:val="00A55E73"/>
    <w:rsid w:val="00A565D3"/>
    <w:rsid w:val="00A56E91"/>
    <w:rsid w:val="00A57990"/>
    <w:rsid w:val="00A60821"/>
    <w:rsid w:val="00A61541"/>
    <w:rsid w:val="00A637E6"/>
    <w:rsid w:val="00A64A81"/>
    <w:rsid w:val="00A65425"/>
    <w:rsid w:val="00A6560D"/>
    <w:rsid w:val="00A65D5D"/>
    <w:rsid w:val="00A65DF6"/>
    <w:rsid w:val="00A669C0"/>
    <w:rsid w:val="00A67F49"/>
    <w:rsid w:val="00A7019F"/>
    <w:rsid w:val="00A70526"/>
    <w:rsid w:val="00A707CA"/>
    <w:rsid w:val="00A73C12"/>
    <w:rsid w:val="00A73D99"/>
    <w:rsid w:val="00A73ED9"/>
    <w:rsid w:val="00A74435"/>
    <w:rsid w:val="00A749F4"/>
    <w:rsid w:val="00A74D3F"/>
    <w:rsid w:val="00A76CFF"/>
    <w:rsid w:val="00A76DBC"/>
    <w:rsid w:val="00A77879"/>
    <w:rsid w:val="00A77C2E"/>
    <w:rsid w:val="00A80482"/>
    <w:rsid w:val="00A8188C"/>
    <w:rsid w:val="00A818DE"/>
    <w:rsid w:val="00A81C19"/>
    <w:rsid w:val="00A826F8"/>
    <w:rsid w:val="00A833B9"/>
    <w:rsid w:val="00A84C7C"/>
    <w:rsid w:val="00A85161"/>
    <w:rsid w:val="00A924FC"/>
    <w:rsid w:val="00A92BDD"/>
    <w:rsid w:val="00A95310"/>
    <w:rsid w:val="00A959BD"/>
    <w:rsid w:val="00A95D86"/>
    <w:rsid w:val="00A971B1"/>
    <w:rsid w:val="00A97B8C"/>
    <w:rsid w:val="00A97D60"/>
    <w:rsid w:val="00AA0B2A"/>
    <w:rsid w:val="00AA1F02"/>
    <w:rsid w:val="00AA2941"/>
    <w:rsid w:val="00AA3762"/>
    <w:rsid w:val="00AA4FD7"/>
    <w:rsid w:val="00AA52F6"/>
    <w:rsid w:val="00AA6064"/>
    <w:rsid w:val="00AA6366"/>
    <w:rsid w:val="00AB0F32"/>
    <w:rsid w:val="00AB4637"/>
    <w:rsid w:val="00AB4FA2"/>
    <w:rsid w:val="00AB611D"/>
    <w:rsid w:val="00AB73C1"/>
    <w:rsid w:val="00AB74AF"/>
    <w:rsid w:val="00AB7C61"/>
    <w:rsid w:val="00AC06E2"/>
    <w:rsid w:val="00AC13F0"/>
    <w:rsid w:val="00AC2C3E"/>
    <w:rsid w:val="00AC346B"/>
    <w:rsid w:val="00AC44B2"/>
    <w:rsid w:val="00AC50C1"/>
    <w:rsid w:val="00AC5B0F"/>
    <w:rsid w:val="00AC60AF"/>
    <w:rsid w:val="00AC7381"/>
    <w:rsid w:val="00AD04B4"/>
    <w:rsid w:val="00AD2460"/>
    <w:rsid w:val="00AD252B"/>
    <w:rsid w:val="00AD2814"/>
    <w:rsid w:val="00AD291D"/>
    <w:rsid w:val="00AD3023"/>
    <w:rsid w:val="00AD40B4"/>
    <w:rsid w:val="00AD5B3C"/>
    <w:rsid w:val="00AD69BA"/>
    <w:rsid w:val="00AD771D"/>
    <w:rsid w:val="00AE06FB"/>
    <w:rsid w:val="00AE127C"/>
    <w:rsid w:val="00AE1CE0"/>
    <w:rsid w:val="00AE1E3D"/>
    <w:rsid w:val="00AE2355"/>
    <w:rsid w:val="00AE33DE"/>
    <w:rsid w:val="00AE48D7"/>
    <w:rsid w:val="00AE4C82"/>
    <w:rsid w:val="00AE5E6C"/>
    <w:rsid w:val="00AE5EEE"/>
    <w:rsid w:val="00AE6578"/>
    <w:rsid w:val="00AE6DB0"/>
    <w:rsid w:val="00AE76AF"/>
    <w:rsid w:val="00AE7DB9"/>
    <w:rsid w:val="00AE7EFA"/>
    <w:rsid w:val="00AF078B"/>
    <w:rsid w:val="00AF086C"/>
    <w:rsid w:val="00AF08D9"/>
    <w:rsid w:val="00AF2528"/>
    <w:rsid w:val="00AF3132"/>
    <w:rsid w:val="00AF3BDD"/>
    <w:rsid w:val="00AF6694"/>
    <w:rsid w:val="00AF6F0D"/>
    <w:rsid w:val="00AF7D1F"/>
    <w:rsid w:val="00B00184"/>
    <w:rsid w:val="00B00760"/>
    <w:rsid w:val="00B00900"/>
    <w:rsid w:val="00B009CA"/>
    <w:rsid w:val="00B00E94"/>
    <w:rsid w:val="00B01106"/>
    <w:rsid w:val="00B015B6"/>
    <w:rsid w:val="00B01DE2"/>
    <w:rsid w:val="00B025A9"/>
    <w:rsid w:val="00B028A0"/>
    <w:rsid w:val="00B03C3B"/>
    <w:rsid w:val="00B04C6A"/>
    <w:rsid w:val="00B118C4"/>
    <w:rsid w:val="00B11F4F"/>
    <w:rsid w:val="00B1283E"/>
    <w:rsid w:val="00B13A79"/>
    <w:rsid w:val="00B13BC0"/>
    <w:rsid w:val="00B144C5"/>
    <w:rsid w:val="00B14786"/>
    <w:rsid w:val="00B1496F"/>
    <w:rsid w:val="00B2016A"/>
    <w:rsid w:val="00B20530"/>
    <w:rsid w:val="00B2056A"/>
    <w:rsid w:val="00B205CB"/>
    <w:rsid w:val="00B21800"/>
    <w:rsid w:val="00B22C7B"/>
    <w:rsid w:val="00B231FB"/>
    <w:rsid w:val="00B23E50"/>
    <w:rsid w:val="00B24DE5"/>
    <w:rsid w:val="00B25126"/>
    <w:rsid w:val="00B25D69"/>
    <w:rsid w:val="00B27842"/>
    <w:rsid w:val="00B27FAE"/>
    <w:rsid w:val="00B30228"/>
    <w:rsid w:val="00B32422"/>
    <w:rsid w:val="00B324BA"/>
    <w:rsid w:val="00B32859"/>
    <w:rsid w:val="00B33355"/>
    <w:rsid w:val="00B34B4D"/>
    <w:rsid w:val="00B34F29"/>
    <w:rsid w:val="00B357EC"/>
    <w:rsid w:val="00B35A67"/>
    <w:rsid w:val="00B36323"/>
    <w:rsid w:val="00B40050"/>
    <w:rsid w:val="00B402C3"/>
    <w:rsid w:val="00B4065A"/>
    <w:rsid w:val="00B40B16"/>
    <w:rsid w:val="00B430CC"/>
    <w:rsid w:val="00B440C8"/>
    <w:rsid w:val="00B44141"/>
    <w:rsid w:val="00B448D3"/>
    <w:rsid w:val="00B4526B"/>
    <w:rsid w:val="00B45E68"/>
    <w:rsid w:val="00B46D77"/>
    <w:rsid w:val="00B47956"/>
    <w:rsid w:val="00B52417"/>
    <w:rsid w:val="00B53B36"/>
    <w:rsid w:val="00B53BE0"/>
    <w:rsid w:val="00B54481"/>
    <w:rsid w:val="00B56B30"/>
    <w:rsid w:val="00B57D50"/>
    <w:rsid w:val="00B60B2E"/>
    <w:rsid w:val="00B60CC2"/>
    <w:rsid w:val="00B62369"/>
    <w:rsid w:val="00B64B46"/>
    <w:rsid w:val="00B64B6B"/>
    <w:rsid w:val="00B65EC6"/>
    <w:rsid w:val="00B662A7"/>
    <w:rsid w:val="00B67518"/>
    <w:rsid w:val="00B67544"/>
    <w:rsid w:val="00B67805"/>
    <w:rsid w:val="00B7090F"/>
    <w:rsid w:val="00B710C8"/>
    <w:rsid w:val="00B7114F"/>
    <w:rsid w:val="00B717EA"/>
    <w:rsid w:val="00B71B76"/>
    <w:rsid w:val="00B73658"/>
    <w:rsid w:val="00B73AE2"/>
    <w:rsid w:val="00B74701"/>
    <w:rsid w:val="00B75BED"/>
    <w:rsid w:val="00B76979"/>
    <w:rsid w:val="00B76DF4"/>
    <w:rsid w:val="00B7799F"/>
    <w:rsid w:val="00B81AE4"/>
    <w:rsid w:val="00B82FBD"/>
    <w:rsid w:val="00B832FE"/>
    <w:rsid w:val="00B84597"/>
    <w:rsid w:val="00B84D61"/>
    <w:rsid w:val="00B8531B"/>
    <w:rsid w:val="00B85ACC"/>
    <w:rsid w:val="00B85F84"/>
    <w:rsid w:val="00B86271"/>
    <w:rsid w:val="00B90CD4"/>
    <w:rsid w:val="00B910DA"/>
    <w:rsid w:val="00B91195"/>
    <w:rsid w:val="00B9163F"/>
    <w:rsid w:val="00B9280B"/>
    <w:rsid w:val="00B931ED"/>
    <w:rsid w:val="00B952D8"/>
    <w:rsid w:val="00B953A3"/>
    <w:rsid w:val="00B96A77"/>
    <w:rsid w:val="00BA08AC"/>
    <w:rsid w:val="00BA137F"/>
    <w:rsid w:val="00BA4C9D"/>
    <w:rsid w:val="00BA5B62"/>
    <w:rsid w:val="00BA6776"/>
    <w:rsid w:val="00BA67A5"/>
    <w:rsid w:val="00BA6DD8"/>
    <w:rsid w:val="00BA70D0"/>
    <w:rsid w:val="00BA75A3"/>
    <w:rsid w:val="00BA7C9A"/>
    <w:rsid w:val="00BA7E11"/>
    <w:rsid w:val="00BB1322"/>
    <w:rsid w:val="00BB15D0"/>
    <w:rsid w:val="00BB194A"/>
    <w:rsid w:val="00BB1F9F"/>
    <w:rsid w:val="00BB2102"/>
    <w:rsid w:val="00BB26BD"/>
    <w:rsid w:val="00BB47DE"/>
    <w:rsid w:val="00BB5454"/>
    <w:rsid w:val="00BB5814"/>
    <w:rsid w:val="00BB70BA"/>
    <w:rsid w:val="00BC0040"/>
    <w:rsid w:val="00BC4A98"/>
    <w:rsid w:val="00BC4CCC"/>
    <w:rsid w:val="00BC4F87"/>
    <w:rsid w:val="00BC5057"/>
    <w:rsid w:val="00BC68E1"/>
    <w:rsid w:val="00BC696B"/>
    <w:rsid w:val="00BC7CF8"/>
    <w:rsid w:val="00BC7F71"/>
    <w:rsid w:val="00BD01F7"/>
    <w:rsid w:val="00BD06AE"/>
    <w:rsid w:val="00BD105A"/>
    <w:rsid w:val="00BD147C"/>
    <w:rsid w:val="00BD1D42"/>
    <w:rsid w:val="00BD288C"/>
    <w:rsid w:val="00BD37E1"/>
    <w:rsid w:val="00BD3ECC"/>
    <w:rsid w:val="00BD52CF"/>
    <w:rsid w:val="00BD5770"/>
    <w:rsid w:val="00BD65B0"/>
    <w:rsid w:val="00BD6E39"/>
    <w:rsid w:val="00BD6FFC"/>
    <w:rsid w:val="00BD737E"/>
    <w:rsid w:val="00BD74F4"/>
    <w:rsid w:val="00BD7F30"/>
    <w:rsid w:val="00BE052A"/>
    <w:rsid w:val="00BE2324"/>
    <w:rsid w:val="00BE30C9"/>
    <w:rsid w:val="00BE4003"/>
    <w:rsid w:val="00BE5156"/>
    <w:rsid w:val="00BE58E7"/>
    <w:rsid w:val="00BE5A00"/>
    <w:rsid w:val="00BE63E1"/>
    <w:rsid w:val="00BE690F"/>
    <w:rsid w:val="00BE7BA3"/>
    <w:rsid w:val="00BE7DD2"/>
    <w:rsid w:val="00BF2030"/>
    <w:rsid w:val="00BF22D1"/>
    <w:rsid w:val="00BF2335"/>
    <w:rsid w:val="00BF4617"/>
    <w:rsid w:val="00BF6029"/>
    <w:rsid w:val="00BF60FC"/>
    <w:rsid w:val="00BF7F4D"/>
    <w:rsid w:val="00C02B3F"/>
    <w:rsid w:val="00C035CA"/>
    <w:rsid w:val="00C04651"/>
    <w:rsid w:val="00C04AED"/>
    <w:rsid w:val="00C0702D"/>
    <w:rsid w:val="00C1019C"/>
    <w:rsid w:val="00C108FA"/>
    <w:rsid w:val="00C1131F"/>
    <w:rsid w:val="00C12097"/>
    <w:rsid w:val="00C12318"/>
    <w:rsid w:val="00C1378D"/>
    <w:rsid w:val="00C13859"/>
    <w:rsid w:val="00C1470C"/>
    <w:rsid w:val="00C157DF"/>
    <w:rsid w:val="00C16E24"/>
    <w:rsid w:val="00C17ACF"/>
    <w:rsid w:val="00C17C90"/>
    <w:rsid w:val="00C2051D"/>
    <w:rsid w:val="00C205D1"/>
    <w:rsid w:val="00C206CA"/>
    <w:rsid w:val="00C2109E"/>
    <w:rsid w:val="00C21DDF"/>
    <w:rsid w:val="00C22437"/>
    <w:rsid w:val="00C23717"/>
    <w:rsid w:val="00C25756"/>
    <w:rsid w:val="00C270F3"/>
    <w:rsid w:val="00C30008"/>
    <w:rsid w:val="00C30CB5"/>
    <w:rsid w:val="00C315D1"/>
    <w:rsid w:val="00C34762"/>
    <w:rsid w:val="00C34E9A"/>
    <w:rsid w:val="00C3596C"/>
    <w:rsid w:val="00C35F49"/>
    <w:rsid w:val="00C3649F"/>
    <w:rsid w:val="00C3727A"/>
    <w:rsid w:val="00C40711"/>
    <w:rsid w:val="00C40AA4"/>
    <w:rsid w:val="00C4121B"/>
    <w:rsid w:val="00C412F8"/>
    <w:rsid w:val="00C42011"/>
    <w:rsid w:val="00C425E6"/>
    <w:rsid w:val="00C429D8"/>
    <w:rsid w:val="00C433C4"/>
    <w:rsid w:val="00C43C8D"/>
    <w:rsid w:val="00C45B9F"/>
    <w:rsid w:val="00C46EF9"/>
    <w:rsid w:val="00C471E7"/>
    <w:rsid w:val="00C47249"/>
    <w:rsid w:val="00C4781F"/>
    <w:rsid w:val="00C47B14"/>
    <w:rsid w:val="00C47BF0"/>
    <w:rsid w:val="00C50E9D"/>
    <w:rsid w:val="00C5160B"/>
    <w:rsid w:val="00C5318C"/>
    <w:rsid w:val="00C538D9"/>
    <w:rsid w:val="00C54F28"/>
    <w:rsid w:val="00C55743"/>
    <w:rsid w:val="00C55A16"/>
    <w:rsid w:val="00C56804"/>
    <w:rsid w:val="00C57156"/>
    <w:rsid w:val="00C6065F"/>
    <w:rsid w:val="00C609A3"/>
    <w:rsid w:val="00C60BE2"/>
    <w:rsid w:val="00C61D4E"/>
    <w:rsid w:val="00C62085"/>
    <w:rsid w:val="00C6240A"/>
    <w:rsid w:val="00C62ECE"/>
    <w:rsid w:val="00C6312F"/>
    <w:rsid w:val="00C64E87"/>
    <w:rsid w:val="00C65F76"/>
    <w:rsid w:val="00C66021"/>
    <w:rsid w:val="00C660E7"/>
    <w:rsid w:val="00C66CD9"/>
    <w:rsid w:val="00C67282"/>
    <w:rsid w:val="00C7022E"/>
    <w:rsid w:val="00C71668"/>
    <w:rsid w:val="00C71D61"/>
    <w:rsid w:val="00C725C8"/>
    <w:rsid w:val="00C74AB6"/>
    <w:rsid w:val="00C74ACB"/>
    <w:rsid w:val="00C769BA"/>
    <w:rsid w:val="00C7717B"/>
    <w:rsid w:val="00C8122B"/>
    <w:rsid w:val="00C82D5B"/>
    <w:rsid w:val="00C83148"/>
    <w:rsid w:val="00C84ADC"/>
    <w:rsid w:val="00C86AD3"/>
    <w:rsid w:val="00C86BCB"/>
    <w:rsid w:val="00C86D08"/>
    <w:rsid w:val="00C87173"/>
    <w:rsid w:val="00C9015B"/>
    <w:rsid w:val="00C921C2"/>
    <w:rsid w:val="00C923CE"/>
    <w:rsid w:val="00C9269C"/>
    <w:rsid w:val="00C92B96"/>
    <w:rsid w:val="00C9337A"/>
    <w:rsid w:val="00C93ADB"/>
    <w:rsid w:val="00C93FAC"/>
    <w:rsid w:val="00C93FF6"/>
    <w:rsid w:val="00C94868"/>
    <w:rsid w:val="00C95EEF"/>
    <w:rsid w:val="00C96F33"/>
    <w:rsid w:val="00C970E3"/>
    <w:rsid w:val="00C97393"/>
    <w:rsid w:val="00CA0AF9"/>
    <w:rsid w:val="00CA13A6"/>
    <w:rsid w:val="00CA2F29"/>
    <w:rsid w:val="00CA3767"/>
    <w:rsid w:val="00CA561E"/>
    <w:rsid w:val="00CA674E"/>
    <w:rsid w:val="00CA795C"/>
    <w:rsid w:val="00CB017C"/>
    <w:rsid w:val="00CB0A35"/>
    <w:rsid w:val="00CB0C74"/>
    <w:rsid w:val="00CB1746"/>
    <w:rsid w:val="00CB2A5B"/>
    <w:rsid w:val="00CB2E43"/>
    <w:rsid w:val="00CB3D22"/>
    <w:rsid w:val="00CB3E92"/>
    <w:rsid w:val="00CB3F1D"/>
    <w:rsid w:val="00CB55E0"/>
    <w:rsid w:val="00CB5DD4"/>
    <w:rsid w:val="00CB6021"/>
    <w:rsid w:val="00CB62B5"/>
    <w:rsid w:val="00CB7677"/>
    <w:rsid w:val="00CB79AA"/>
    <w:rsid w:val="00CC0424"/>
    <w:rsid w:val="00CC0A8E"/>
    <w:rsid w:val="00CC1058"/>
    <w:rsid w:val="00CC150A"/>
    <w:rsid w:val="00CC167E"/>
    <w:rsid w:val="00CC1E15"/>
    <w:rsid w:val="00CC1F45"/>
    <w:rsid w:val="00CC2518"/>
    <w:rsid w:val="00CC2825"/>
    <w:rsid w:val="00CC375C"/>
    <w:rsid w:val="00CC463A"/>
    <w:rsid w:val="00CC5425"/>
    <w:rsid w:val="00CC55D8"/>
    <w:rsid w:val="00CC5E3F"/>
    <w:rsid w:val="00CC6233"/>
    <w:rsid w:val="00CC6638"/>
    <w:rsid w:val="00CC6BA6"/>
    <w:rsid w:val="00CC7260"/>
    <w:rsid w:val="00CD0113"/>
    <w:rsid w:val="00CD136C"/>
    <w:rsid w:val="00CD1940"/>
    <w:rsid w:val="00CD3079"/>
    <w:rsid w:val="00CD44C2"/>
    <w:rsid w:val="00CD46E6"/>
    <w:rsid w:val="00CD4D83"/>
    <w:rsid w:val="00CD5B03"/>
    <w:rsid w:val="00CD7EC7"/>
    <w:rsid w:val="00CE0B13"/>
    <w:rsid w:val="00CE1452"/>
    <w:rsid w:val="00CE1AB2"/>
    <w:rsid w:val="00CE281B"/>
    <w:rsid w:val="00CE2C4E"/>
    <w:rsid w:val="00CE38AC"/>
    <w:rsid w:val="00CE3B2D"/>
    <w:rsid w:val="00CE4219"/>
    <w:rsid w:val="00CE72CF"/>
    <w:rsid w:val="00CE74C6"/>
    <w:rsid w:val="00CE76D5"/>
    <w:rsid w:val="00CE782F"/>
    <w:rsid w:val="00CE7CE7"/>
    <w:rsid w:val="00CF0526"/>
    <w:rsid w:val="00CF0851"/>
    <w:rsid w:val="00CF0E47"/>
    <w:rsid w:val="00CF10A6"/>
    <w:rsid w:val="00CF1982"/>
    <w:rsid w:val="00CF4FCC"/>
    <w:rsid w:val="00CF5CE8"/>
    <w:rsid w:val="00CF60C5"/>
    <w:rsid w:val="00CF62A4"/>
    <w:rsid w:val="00CF6B62"/>
    <w:rsid w:val="00CF6DF5"/>
    <w:rsid w:val="00CF6F5C"/>
    <w:rsid w:val="00D00AE6"/>
    <w:rsid w:val="00D00D28"/>
    <w:rsid w:val="00D0100E"/>
    <w:rsid w:val="00D01300"/>
    <w:rsid w:val="00D0177D"/>
    <w:rsid w:val="00D01F29"/>
    <w:rsid w:val="00D02090"/>
    <w:rsid w:val="00D03E6A"/>
    <w:rsid w:val="00D03F09"/>
    <w:rsid w:val="00D043C8"/>
    <w:rsid w:val="00D04AB6"/>
    <w:rsid w:val="00D0772A"/>
    <w:rsid w:val="00D113AD"/>
    <w:rsid w:val="00D114D5"/>
    <w:rsid w:val="00D1346F"/>
    <w:rsid w:val="00D1542A"/>
    <w:rsid w:val="00D15603"/>
    <w:rsid w:val="00D16799"/>
    <w:rsid w:val="00D16895"/>
    <w:rsid w:val="00D16A23"/>
    <w:rsid w:val="00D20035"/>
    <w:rsid w:val="00D20FF9"/>
    <w:rsid w:val="00D21DB5"/>
    <w:rsid w:val="00D220B8"/>
    <w:rsid w:val="00D22B3A"/>
    <w:rsid w:val="00D24521"/>
    <w:rsid w:val="00D25743"/>
    <w:rsid w:val="00D2655D"/>
    <w:rsid w:val="00D2786D"/>
    <w:rsid w:val="00D2790A"/>
    <w:rsid w:val="00D27E68"/>
    <w:rsid w:val="00D30279"/>
    <w:rsid w:val="00D307DA"/>
    <w:rsid w:val="00D31DAE"/>
    <w:rsid w:val="00D31E49"/>
    <w:rsid w:val="00D32722"/>
    <w:rsid w:val="00D3312B"/>
    <w:rsid w:val="00D33C48"/>
    <w:rsid w:val="00D345E0"/>
    <w:rsid w:val="00D347AF"/>
    <w:rsid w:val="00D34A00"/>
    <w:rsid w:val="00D34CE6"/>
    <w:rsid w:val="00D34E66"/>
    <w:rsid w:val="00D357E2"/>
    <w:rsid w:val="00D35E13"/>
    <w:rsid w:val="00D35FE4"/>
    <w:rsid w:val="00D361E1"/>
    <w:rsid w:val="00D403FA"/>
    <w:rsid w:val="00D4050F"/>
    <w:rsid w:val="00D40641"/>
    <w:rsid w:val="00D43A83"/>
    <w:rsid w:val="00D43D6A"/>
    <w:rsid w:val="00D43E56"/>
    <w:rsid w:val="00D44455"/>
    <w:rsid w:val="00D448B2"/>
    <w:rsid w:val="00D4599A"/>
    <w:rsid w:val="00D45C80"/>
    <w:rsid w:val="00D45CAC"/>
    <w:rsid w:val="00D50727"/>
    <w:rsid w:val="00D50D1D"/>
    <w:rsid w:val="00D530D0"/>
    <w:rsid w:val="00D5330E"/>
    <w:rsid w:val="00D53EA6"/>
    <w:rsid w:val="00D5498C"/>
    <w:rsid w:val="00D54CC9"/>
    <w:rsid w:val="00D55F1B"/>
    <w:rsid w:val="00D56AE0"/>
    <w:rsid w:val="00D56B85"/>
    <w:rsid w:val="00D57526"/>
    <w:rsid w:val="00D576A0"/>
    <w:rsid w:val="00D600F5"/>
    <w:rsid w:val="00D62F32"/>
    <w:rsid w:val="00D6345B"/>
    <w:rsid w:val="00D63AA7"/>
    <w:rsid w:val="00D656D2"/>
    <w:rsid w:val="00D65811"/>
    <w:rsid w:val="00D65D7B"/>
    <w:rsid w:val="00D66008"/>
    <w:rsid w:val="00D66118"/>
    <w:rsid w:val="00D6667E"/>
    <w:rsid w:val="00D66769"/>
    <w:rsid w:val="00D67866"/>
    <w:rsid w:val="00D712C7"/>
    <w:rsid w:val="00D720C1"/>
    <w:rsid w:val="00D730BD"/>
    <w:rsid w:val="00D7510D"/>
    <w:rsid w:val="00D75A36"/>
    <w:rsid w:val="00D7679E"/>
    <w:rsid w:val="00D779AC"/>
    <w:rsid w:val="00D81C04"/>
    <w:rsid w:val="00D821DF"/>
    <w:rsid w:val="00D82594"/>
    <w:rsid w:val="00D8335B"/>
    <w:rsid w:val="00D83E8F"/>
    <w:rsid w:val="00D845E5"/>
    <w:rsid w:val="00D84FF3"/>
    <w:rsid w:val="00D857FB"/>
    <w:rsid w:val="00D85934"/>
    <w:rsid w:val="00D86552"/>
    <w:rsid w:val="00D911F5"/>
    <w:rsid w:val="00D9123B"/>
    <w:rsid w:val="00D93F52"/>
    <w:rsid w:val="00D94346"/>
    <w:rsid w:val="00D94964"/>
    <w:rsid w:val="00D949B3"/>
    <w:rsid w:val="00D955AF"/>
    <w:rsid w:val="00D96653"/>
    <w:rsid w:val="00D968B1"/>
    <w:rsid w:val="00D96E83"/>
    <w:rsid w:val="00D97CD6"/>
    <w:rsid w:val="00DA011D"/>
    <w:rsid w:val="00DA0286"/>
    <w:rsid w:val="00DA02A3"/>
    <w:rsid w:val="00DA1CEF"/>
    <w:rsid w:val="00DA5DE3"/>
    <w:rsid w:val="00DA62AE"/>
    <w:rsid w:val="00DA71E8"/>
    <w:rsid w:val="00DB02CB"/>
    <w:rsid w:val="00DB089E"/>
    <w:rsid w:val="00DB08AF"/>
    <w:rsid w:val="00DB237E"/>
    <w:rsid w:val="00DB28DB"/>
    <w:rsid w:val="00DB3833"/>
    <w:rsid w:val="00DB48D4"/>
    <w:rsid w:val="00DB4D72"/>
    <w:rsid w:val="00DB6759"/>
    <w:rsid w:val="00DB7979"/>
    <w:rsid w:val="00DB7DA5"/>
    <w:rsid w:val="00DC04EF"/>
    <w:rsid w:val="00DC0856"/>
    <w:rsid w:val="00DC15B3"/>
    <w:rsid w:val="00DC1B56"/>
    <w:rsid w:val="00DC2E58"/>
    <w:rsid w:val="00DC4574"/>
    <w:rsid w:val="00DC51C4"/>
    <w:rsid w:val="00DC7CB8"/>
    <w:rsid w:val="00DD05D1"/>
    <w:rsid w:val="00DD07C0"/>
    <w:rsid w:val="00DD1977"/>
    <w:rsid w:val="00DD48D5"/>
    <w:rsid w:val="00DD510A"/>
    <w:rsid w:val="00DE03CE"/>
    <w:rsid w:val="00DE0E41"/>
    <w:rsid w:val="00DE15B9"/>
    <w:rsid w:val="00DE2785"/>
    <w:rsid w:val="00DE3A14"/>
    <w:rsid w:val="00DE3DA1"/>
    <w:rsid w:val="00DE5892"/>
    <w:rsid w:val="00DE5F02"/>
    <w:rsid w:val="00DE6426"/>
    <w:rsid w:val="00DF052E"/>
    <w:rsid w:val="00DF0AA6"/>
    <w:rsid w:val="00DF0EFE"/>
    <w:rsid w:val="00DF1632"/>
    <w:rsid w:val="00DF4809"/>
    <w:rsid w:val="00DF5711"/>
    <w:rsid w:val="00DF5E46"/>
    <w:rsid w:val="00DF6807"/>
    <w:rsid w:val="00E0067F"/>
    <w:rsid w:val="00E00C4D"/>
    <w:rsid w:val="00E01112"/>
    <w:rsid w:val="00E01569"/>
    <w:rsid w:val="00E01ED1"/>
    <w:rsid w:val="00E023FB"/>
    <w:rsid w:val="00E03311"/>
    <w:rsid w:val="00E036CF"/>
    <w:rsid w:val="00E03D7A"/>
    <w:rsid w:val="00E04C6F"/>
    <w:rsid w:val="00E05245"/>
    <w:rsid w:val="00E05558"/>
    <w:rsid w:val="00E0569F"/>
    <w:rsid w:val="00E057A8"/>
    <w:rsid w:val="00E05DD2"/>
    <w:rsid w:val="00E05DFD"/>
    <w:rsid w:val="00E07296"/>
    <w:rsid w:val="00E075FA"/>
    <w:rsid w:val="00E107C9"/>
    <w:rsid w:val="00E1127D"/>
    <w:rsid w:val="00E1133A"/>
    <w:rsid w:val="00E13318"/>
    <w:rsid w:val="00E14AE4"/>
    <w:rsid w:val="00E20273"/>
    <w:rsid w:val="00E20AA3"/>
    <w:rsid w:val="00E21019"/>
    <w:rsid w:val="00E21456"/>
    <w:rsid w:val="00E2153F"/>
    <w:rsid w:val="00E22265"/>
    <w:rsid w:val="00E23743"/>
    <w:rsid w:val="00E242EF"/>
    <w:rsid w:val="00E24CFD"/>
    <w:rsid w:val="00E257E9"/>
    <w:rsid w:val="00E25D6D"/>
    <w:rsid w:val="00E26E92"/>
    <w:rsid w:val="00E271E5"/>
    <w:rsid w:val="00E27A42"/>
    <w:rsid w:val="00E3071C"/>
    <w:rsid w:val="00E30E63"/>
    <w:rsid w:val="00E3325B"/>
    <w:rsid w:val="00E33AE7"/>
    <w:rsid w:val="00E34419"/>
    <w:rsid w:val="00E35BBB"/>
    <w:rsid w:val="00E3716A"/>
    <w:rsid w:val="00E40B93"/>
    <w:rsid w:val="00E4276B"/>
    <w:rsid w:val="00E43903"/>
    <w:rsid w:val="00E45706"/>
    <w:rsid w:val="00E46636"/>
    <w:rsid w:val="00E46B47"/>
    <w:rsid w:val="00E47A0D"/>
    <w:rsid w:val="00E50762"/>
    <w:rsid w:val="00E508BB"/>
    <w:rsid w:val="00E5123C"/>
    <w:rsid w:val="00E5190A"/>
    <w:rsid w:val="00E51DE1"/>
    <w:rsid w:val="00E52097"/>
    <w:rsid w:val="00E5293E"/>
    <w:rsid w:val="00E550A4"/>
    <w:rsid w:val="00E5545D"/>
    <w:rsid w:val="00E557C8"/>
    <w:rsid w:val="00E55FD1"/>
    <w:rsid w:val="00E563FF"/>
    <w:rsid w:val="00E60581"/>
    <w:rsid w:val="00E60A88"/>
    <w:rsid w:val="00E60F9D"/>
    <w:rsid w:val="00E64336"/>
    <w:rsid w:val="00E66068"/>
    <w:rsid w:val="00E662BC"/>
    <w:rsid w:val="00E6647D"/>
    <w:rsid w:val="00E67306"/>
    <w:rsid w:val="00E67772"/>
    <w:rsid w:val="00E70346"/>
    <w:rsid w:val="00E70969"/>
    <w:rsid w:val="00E70EDD"/>
    <w:rsid w:val="00E71C72"/>
    <w:rsid w:val="00E7269F"/>
    <w:rsid w:val="00E73D9E"/>
    <w:rsid w:val="00E74052"/>
    <w:rsid w:val="00E74456"/>
    <w:rsid w:val="00E74DC2"/>
    <w:rsid w:val="00E752D7"/>
    <w:rsid w:val="00E75411"/>
    <w:rsid w:val="00E75D4A"/>
    <w:rsid w:val="00E81334"/>
    <w:rsid w:val="00E81A8F"/>
    <w:rsid w:val="00E82A20"/>
    <w:rsid w:val="00E82A2F"/>
    <w:rsid w:val="00E82D2E"/>
    <w:rsid w:val="00E84825"/>
    <w:rsid w:val="00E84B05"/>
    <w:rsid w:val="00E84BA7"/>
    <w:rsid w:val="00E86533"/>
    <w:rsid w:val="00E8684B"/>
    <w:rsid w:val="00E87A63"/>
    <w:rsid w:val="00E912CC"/>
    <w:rsid w:val="00E91541"/>
    <w:rsid w:val="00E91B8C"/>
    <w:rsid w:val="00E91E28"/>
    <w:rsid w:val="00E91F93"/>
    <w:rsid w:val="00E92C7D"/>
    <w:rsid w:val="00E92DAC"/>
    <w:rsid w:val="00E95748"/>
    <w:rsid w:val="00E95EFB"/>
    <w:rsid w:val="00E96823"/>
    <w:rsid w:val="00E97388"/>
    <w:rsid w:val="00E97628"/>
    <w:rsid w:val="00E979AA"/>
    <w:rsid w:val="00EA1E40"/>
    <w:rsid w:val="00EA2861"/>
    <w:rsid w:val="00EA2EF7"/>
    <w:rsid w:val="00EA3E59"/>
    <w:rsid w:val="00EA41BF"/>
    <w:rsid w:val="00EA592E"/>
    <w:rsid w:val="00EA6318"/>
    <w:rsid w:val="00EA66C5"/>
    <w:rsid w:val="00EA6EA6"/>
    <w:rsid w:val="00EA7AE9"/>
    <w:rsid w:val="00EB1151"/>
    <w:rsid w:val="00EB2D33"/>
    <w:rsid w:val="00EB304D"/>
    <w:rsid w:val="00EB3451"/>
    <w:rsid w:val="00EB3D34"/>
    <w:rsid w:val="00EB428D"/>
    <w:rsid w:val="00EB42BC"/>
    <w:rsid w:val="00EB5F06"/>
    <w:rsid w:val="00EB6589"/>
    <w:rsid w:val="00EB7AFD"/>
    <w:rsid w:val="00EB7C16"/>
    <w:rsid w:val="00EC05D2"/>
    <w:rsid w:val="00EC07D5"/>
    <w:rsid w:val="00EC07DE"/>
    <w:rsid w:val="00EC0C89"/>
    <w:rsid w:val="00EC1239"/>
    <w:rsid w:val="00EC309A"/>
    <w:rsid w:val="00EC3B02"/>
    <w:rsid w:val="00EC4098"/>
    <w:rsid w:val="00EC4454"/>
    <w:rsid w:val="00EC4CC5"/>
    <w:rsid w:val="00EC6677"/>
    <w:rsid w:val="00EC67B5"/>
    <w:rsid w:val="00EC6B86"/>
    <w:rsid w:val="00EC6B97"/>
    <w:rsid w:val="00EC7B8D"/>
    <w:rsid w:val="00EC7DC1"/>
    <w:rsid w:val="00ED0D6F"/>
    <w:rsid w:val="00ED1503"/>
    <w:rsid w:val="00ED35AC"/>
    <w:rsid w:val="00ED4A77"/>
    <w:rsid w:val="00ED6237"/>
    <w:rsid w:val="00ED6F97"/>
    <w:rsid w:val="00ED7A3C"/>
    <w:rsid w:val="00ED7B5D"/>
    <w:rsid w:val="00ED7CEE"/>
    <w:rsid w:val="00EE0FE6"/>
    <w:rsid w:val="00EE1073"/>
    <w:rsid w:val="00EE1265"/>
    <w:rsid w:val="00EE1402"/>
    <w:rsid w:val="00EE1719"/>
    <w:rsid w:val="00EE1DAD"/>
    <w:rsid w:val="00EE3DE3"/>
    <w:rsid w:val="00EE3FFE"/>
    <w:rsid w:val="00EE43A2"/>
    <w:rsid w:val="00EE4DA8"/>
    <w:rsid w:val="00EE50CA"/>
    <w:rsid w:val="00EE5143"/>
    <w:rsid w:val="00EE5ED5"/>
    <w:rsid w:val="00EE6EA2"/>
    <w:rsid w:val="00EE71A0"/>
    <w:rsid w:val="00EE7D5A"/>
    <w:rsid w:val="00EF04DD"/>
    <w:rsid w:val="00EF1F43"/>
    <w:rsid w:val="00EF2F66"/>
    <w:rsid w:val="00EF3898"/>
    <w:rsid w:val="00EF4E42"/>
    <w:rsid w:val="00EF58D2"/>
    <w:rsid w:val="00EF7734"/>
    <w:rsid w:val="00EF7815"/>
    <w:rsid w:val="00EF7A23"/>
    <w:rsid w:val="00EF7FF7"/>
    <w:rsid w:val="00F00C25"/>
    <w:rsid w:val="00F02328"/>
    <w:rsid w:val="00F03516"/>
    <w:rsid w:val="00F042D5"/>
    <w:rsid w:val="00F05ED9"/>
    <w:rsid w:val="00F06AE0"/>
    <w:rsid w:val="00F072AD"/>
    <w:rsid w:val="00F105D1"/>
    <w:rsid w:val="00F10E46"/>
    <w:rsid w:val="00F11C7D"/>
    <w:rsid w:val="00F12060"/>
    <w:rsid w:val="00F136B0"/>
    <w:rsid w:val="00F140E9"/>
    <w:rsid w:val="00F14A47"/>
    <w:rsid w:val="00F14B20"/>
    <w:rsid w:val="00F14F5A"/>
    <w:rsid w:val="00F16D47"/>
    <w:rsid w:val="00F20A85"/>
    <w:rsid w:val="00F20DC2"/>
    <w:rsid w:val="00F22C29"/>
    <w:rsid w:val="00F23149"/>
    <w:rsid w:val="00F236CE"/>
    <w:rsid w:val="00F25D2C"/>
    <w:rsid w:val="00F263EB"/>
    <w:rsid w:val="00F265DF"/>
    <w:rsid w:val="00F26717"/>
    <w:rsid w:val="00F26F01"/>
    <w:rsid w:val="00F270DD"/>
    <w:rsid w:val="00F30DCA"/>
    <w:rsid w:val="00F31A2E"/>
    <w:rsid w:val="00F33265"/>
    <w:rsid w:val="00F36FC2"/>
    <w:rsid w:val="00F37F0B"/>
    <w:rsid w:val="00F415A0"/>
    <w:rsid w:val="00F415F3"/>
    <w:rsid w:val="00F41FDA"/>
    <w:rsid w:val="00F4244F"/>
    <w:rsid w:val="00F4287B"/>
    <w:rsid w:val="00F42A91"/>
    <w:rsid w:val="00F430C5"/>
    <w:rsid w:val="00F44621"/>
    <w:rsid w:val="00F44C58"/>
    <w:rsid w:val="00F44FAD"/>
    <w:rsid w:val="00F451E9"/>
    <w:rsid w:val="00F47D40"/>
    <w:rsid w:val="00F50351"/>
    <w:rsid w:val="00F5050F"/>
    <w:rsid w:val="00F505AC"/>
    <w:rsid w:val="00F505E8"/>
    <w:rsid w:val="00F50F76"/>
    <w:rsid w:val="00F52934"/>
    <w:rsid w:val="00F52D5E"/>
    <w:rsid w:val="00F53C1F"/>
    <w:rsid w:val="00F55269"/>
    <w:rsid w:val="00F55EA3"/>
    <w:rsid w:val="00F562FA"/>
    <w:rsid w:val="00F60BF1"/>
    <w:rsid w:val="00F60C02"/>
    <w:rsid w:val="00F61478"/>
    <w:rsid w:val="00F6150F"/>
    <w:rsid w:val="00F624EC"/>
    <w:rsid w:val="00F63509"/>
    <w:rsid w:val="00F63B40"/>
    <w:rsid w:val="00F63C3C"/>
    <w:rsid w:val="00F647F9"/>
    <w:rsid w:val="00F655B6"/>
    <w:rsid w:val="00F67333"/>
    <w:rsid w:val="00F70746"/>
    <w:rsid w:val="00F71F45"/>
    <w:rsid w:val="00F71F76"/>
    <w:rsid w:val="00F720C4"/>
    <w:rsid w:val="00F72BBD"/>
    <w:rsid w:val="00F72CE6"/>
    <w:rsid w:val="00F72D59"/>
    <w:rsid w:val="00F73D7C"/>
    <w:rsid w:val="00F73EFC"/>
    <w:rsid w:val="00F74488"/>
    <w:rsid w:val="00F74DEF"/>
    <w:rsid w:val="00F7516F"/>
    <w:rsid w:val="00F75280"/>
    <w:rsid w:val="00F767E1"/>
    <w:rsid w:val="00F773BE"/>
    <w:rsid w:val="00F776D5"/>
    <w:rsid w:val="00F81051"/>
    <w:rsid w:val="00F81148"/>
    <w:rsid w:val="00F83CDD"/>
    <w:rsid w:val="00F85475"/>
    <w:rsid w:val="00F86438"/>
    <w:rsid w:val="00F87CBE"/>
    <w:rsid w:val="00F87CF1"/>
    <w:rsid w:val="00F9382C"/>
    <w:rsid w:val="00F938AA"/>
    <w:rsid w:val="00F941F1"/>
    <w:rsid w:val="00F94231"/>
    <w:rsid w:val="00F9503A"/>
    <w:rsid w:val="00F957CD"/>
    <w:rsid w:val="00F969DC"/>
    <w:rsid w:val="00F97079"/>
    <w:rsid w:val="00FA0257"/>
    <w:rsid w:val="00FA206D"/>
    <w:rsid w:val="00FA234B"/>
    <w:rsid w:val="00FA2680"/>
    <w:rsid w:val="00FA2934"/>
    <w:rsid w:val="00FA2B01"/>
    <w:rsid w:val="00FA3DD2"/>
    <w:rsid w:val="00FA6925"/>
    <w:rsid w:val="00FA6F63"/>
    <w:rsid w:val="00FA79CE"/>
    <w:rsid w:val="00FA7D22"/>
    <w:rsid w:val="00FB0299"/>
    <w:rsid w:val="00FB1650"/>
    <w:rsid w:val="00FB1F74"/>
    <w:rsid w:val="00FB2045"/>
    <w:rsid w:val="00FB28DA"/>
    <w:rsid w:val="00FB2D1F"/>
    <w:rsid w:val="00FB32E1"/>
    <w:rsid w:val="00FB3605"/>
    <w:rsid w:val="00FB427E"/>
    <w:rsid w:val="00FB4786"/>
    <w:rsid w:val="00FB5740"/>
    <w:rsid w:val="00FB6D6A"/>
    <w:rsid w:val="00FC004F"/>
    <w:rsid w:val="00FC2DDD"/>
    <w:rsid w:val="00FC302F"/>
    <w:rsid w:val="00FC40BA"/>
    <w:rsid w:val="00FC4D6E"/>
    <w:rsid w:val="00FC51CD"/>
    <w:rsid w:val="00FC51DF"/>
    <w:rsid w:val="00FC5560"/>
    <w:rsid w:val="00FC75B0"/>
    <w:rsid w:val="00FD0062"/>
    <w:rsid w:val="00FD0669"/>
    <w:rsid w:val="00FD07DD"/>
    <w:rsid w:val="00FD0CE0"/>
    <w:rsid w:val="00FD0E32"/>
    <w:rsid w:val="00FD4E3B"/>
    <w:rsid w:val="00FD6E21"/>
    <w:rsid w:val="00FD771A"/>
    <w:rsid w:val="00FE14E5"/>
    <w:rsid w:val="00FE16A3"/>
    <w:rsid w:val="00FE180C"/>
    <w:rsid w:val="00FE23EF"/>
    <w:rsid w:val="00FE2E04"/>
    <w:rsid w:val="00FE342C"/>
    <w:rsid w:val="00FE43F2"/>
    <w:rsid w:val="00FE49C7"/>
    <w:rsid w:val="00FE536C"/>
    <w:rsid w:val="00FE6072"/>
    <w:rsid w:val="00FE61D7"/>
    <w:rsid w:val="00FE637B"/>
    <w:rsid w:val="00FE6FB7"/>
    <w:rsid w:val="00FE740D"/>
    <w:rsid w:val="00FE7997"/>
    <w:rsid w:val="00FF042B"/>
    <w:rsid w:val="00FF2044"/>
    <w:rsid w:val="00FF2974"/>
    <w:rsid w:val="00FF31CA"/>
    <w:rsid w:val="00FF3621"/>
    <w:rsid w:val="00FF3698"/>
    <w:rsid w:val="00FF395F"/>
    <w:rsid w:val="00FF4256"/>
    <w:rsid w:val="00FF46BA"/>
    <w:rsid w:val="00FF4DDD"/>
    <w:rsid w:val="00FF5B81"/>
    <w:rsid w:val="00FF68AD"/>
    <w:rsid w:val="00FF72FE"/>
    <w:rsid w:val="00FF7C1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046D1D"/>
  <w15:docId w15:val="{AB09704F-D23A-4BC1-8170-0C1DC0CF4D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color w:val="000000" w:themeColor="text1"/>
        <w:sz w:val="24"/>
        <w:szCs w:val="24"/>
        <w:lang w:val="tr-TR" w:eastAsia="tr-T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55057"/>
  </w:style>
  <w:style w:type="paragraph" w:styleId="Balk1">
    <w:name w:val="heading 1"/>
    <w:aliases w:val="TEZ-1"/>
    <w:basedOn w:val="Normal"/>
    <w:next w:val="Normal"/>
    <w:link w:val="Balk1Char"/>
    <w:uiPriority w:val="9"/>
    <w:qFormat/>
    <w:rsid w:val="0084166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aliases w:val="TEZ-2"/>
    <w:basedOn w:val="Normal"/>
    <w:next w:val="Normal"/>
    <w:link w:val="Balk2Char"/>
    <w:uiPriority w:val="9"/>
    <w:unhideWhenUsed/>
    <w:qFormat/>
    <w:rsid w:val="00466EA0"/>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Balk3">
    <w:name w:val="heading 3"/>
    <w:aliases w:val="Şekil,Tablo"/>
    <w:basedOn w:val="Normal"/>
    <w:next w:val="Normal"/>
    <w:link w:val="Balk3Char"/>
    <w:uiPriority w:val="9"/>
    <w:unhideWhenUsed/>
    <w:qFormat/>
    <w:rsid w:val="006C66A2"/>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aliases w:val="TEZ-3"/>
    <w:basedOn w:val="Normal"/>
    <w:next w:val="Normal"/>
    <w:link w:val="Balk4Char"/>
    <w:uiPriority w:val="9"/>
    <w:unhideWhenUsed/>
    <w:qFormat/>
    <w:rsid w:val="006C66A2"/>
    <w:pPr>
      <w:keepNext/>
      <w:keepLines/>
      <w:spacing w:before="200" w:after="0"/>
      <w:outlineLvl w:val="3"/>
    </w:pPr>
    <w:rPr>
      <w:rFonts w:asciiTheme="majorHAnsi" w:eastAsiaTheme="majorEastAsia" w:hAnsiTheme="majorHAnsi" w:cstheme="majorBidi"/>
      <w:b/>
      <w:bCs/>
      <w:i/>
      <w:iCs/>
      <w:color w:val="4F81BD" w:themeColor="accent1"/>
    </w:rPr>
  </w:style>
  <w:style w:type="paragraph" w:styleId="Balk5">
    <w:name w:val="heading 5"/>
    <w:aliases w:val="TEZ-4"/>
    <w:basedOn w:val="Normal"/>
    <w:next w:val="Normal"/>
    <w:link w:val="Balk5Char"/>
    <w:uiPriority w:val="9"/>
    <w:unhideWhenUsed/>
    <w:qFormat/>
    <w:rsid w:val="002C3C94"/>
    <w:pPr>
      <w:keepNext/>
      <w:keepLines/>
      <w:spacing w:before="40" w:after="0"/>
      <w:outlineLvl w:val="4"/>
    </w:pPr>
    <w:rPr>
      <w:rFonts w:asciiTheme="majorHAnsi" w:eastAsiaTheme="majorEastAsia" w:hAnsiTheme="majorHAnsi" w:cstheme="majorBidi"/>
      <w:color w:val="365F91" w:themeColor="accent1" w:themeShade="BF"/>
    </w:rPr>
  </w:style>
  <w:style w:type="paragraph" w:styleId="Balk6">
    <w:name w:val="heading 6"/>
    <w:basedOn w:val="Normal"/>
    <w:next w:val="Normal"/>
    <w:link w:val="Balk6Char"/>
    <w:uiPriority w:val="9"/>
    <w:unhideWhenUsed/>
    <w:qFormat/>
    <w:rsid w:val="00914F07"/>
    <w:pPr>
      <w:keepNext/>
      <w:keepLines/>
      <w:spacing w:before="240" w:after="240" w:line="360" w:lineRule="auto"/>
      <w:ind w:firstLine="567"/>
      <w:outlineLvl w:val="5"/>
    </w:pPr>
    <w:rPr>
      <w:rFonts w:eastAsia="Times New Roman"/>
      <w:b/>
      <w:color w:val="auto"/>
    </w:rPr>
  </w:style>
  <w:style w:type="paragraph" w:styleId="Balk7">
    <w:name w:val="heading 7"/>
    <w:basedOn w:val="Normal"/>
    <w:next w:val="Normal"/>
    <w:link w:val="Balk7Char"/>
    <w:uiPriority w:val="9"/>
    <w:unhideWhenUsed/>
    <w:qFormat/>
    <w:rsid w:val="00914F07"/>
    <w:pPr>
      <w:keepNext/>
      <w:keepLines/>
      <w:spacing w:before="240" w:after="240" w:line="360" w:lineRule="auto"/>
      <w:ind w:firstLine="567"/>
      <w:outlineLvl w:val="6"/>
    </w:pPr>
    <w:rPr>
      <w:rFonts w:eastAsia="Times New Roman"/>
      <w:b/>
      <w:iCs/>
      <w:color w:val="auto"/>
    </w:rPr>
  </w:style>
  <w:style w:type="paragraph" w:styleId="Balk8">
    <w:name w:val="heading 8"/>
    <w:basedOn w:val="Normal"/>
    <w:next w:val="Normal"/>
    <w:link w:val="Balk8Char"/>
    <w:uiPriority w:val="9"/>
    <w:semiHidden/>
    <w:unhideWhenUsed/>
    <w:qFormat/>
    <w:rsid w:val="002C3C94"/>
    <w:pPr>
      <w:keepNext/>
      <w:keepLines/>
      <w:spacing w:before="40" w:after="0"/>
      <w:outlineLvl w:val="7"/>
    </w:pPr>
    <w:rPr>
      <w:rFonts w:ascii="Calibri Light" w:eastAsia="Times New Roman" w:hAnsi="Calibri Light"/>
      <w:color w:val="272727"/>
      <w:sz w:val="21"/>
      <w:szCs w:val="21"/>
    </w:rPr>
  </w:style>
  <w:style w:type="paragraph" w:styleId="Balk9">
    <w:name w:val="heading 9"/>
    <w:basedOn w:val="Normal"/>
    <w:next w:val="Normal"/>
    <w:link w:val="Balk9Char"/>
    <w:uiPriority w:val="9"/>
    <w:semiHidden/>
    <w:unhideWhenUsed/>
    <w:qFormat/>
    <w:rsid w:val="002C3C94"/>
    <w:pPr>
      <w:keepNext/>
      <w:keepLines/>
      <w:spacing w:before="40" w:after="0"/>
      <w:outlineLvl w:val="8"/>
    </w:pPr>
    <w:rPr>
      <w:rFonts w:ascii="Calibri Light" w:eastAsia="Times New Roman" w:hAnsi="Calibri Light"/>
      <w:i/>
      <w:iCs/>
      <w:color w:val="272727"/>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Gl">
    <w:name w:val="Strong"/>
    <w:basedOn w:val="Balk1Char"/>
    <w:uiPriority w:val="22"/>
    <w:qFormat/>
    <w:rsid w:val="00401D79"/>
    <w:rPr>
      <w:rFonts w:ascii="Times New Roman" w:eastAsiaTheme="majorEastAsia" w:hAnsi="Times New Roman" w:cstheme="majorBidi"/>
      <w:b w:val="0"/>
      <w:bCs/>
      <w:color w:val="000000" w:themeColor="text1"/>
      <w:sz w:val="24"/>
      <w:szCs w:val="28"/>
    </w:rPr>
  </w:style>
  <w:style w:type="paragraph" w:styleId="NormalWeb">
    <w:name w:val="Normal (Web)"/>
    <w:basedOn w:val="Normal"/>
    <w:uiPriority w:val="99"/>
    <w:rsid w:val="00E07296"/>
    <w:pPr>
      <w:spacing w:after="84" w:line="240" w:lineRule="auto"/>
    </w:pPr>
    <w:rPr>
      <w:rFonts w:ascii="Verdana" w:eastAsia="SimSun" w:hAnsi="Verdana"/>
      <w:color w:val="666666"/>
      <w:lang w:eastAsia="zh-CN"/>
    </w:rPr>
  </w:style>
  <w:style w:type="paragraph" w:customStyle="1" w:styleId="TezMetni">
    <w:name w:val="Tez Metni"/>
    <w:rsid w:val="00E07296"/>
    <w:pPr>
      <w:spacing w:after="240" w:line="360" w:lineRule="auto"/>
      <w:jc w:val="both"/>
    </w:pPr>
    <w:rPr>
      <w:rFonts w:ascii="Arial" w:eastAsia="Times New Roman" w:hAnsi="Arial"/>
      <w:szCs w:val="20"/>
    </w:rPr>
  </w:style>
  <w:style w:type="paragraph" w:customStyle="1" w:styleId="Sekilalani">
    <w:name w:val="Sekilalani"/>
    <w:basedOn w:val="Normal"/>
    <w:rsid w:val="00E07296"/>
    <w:pPr>
      <w:widowControl w:val="0"/>
      <w:spacing w:after="0" w:line="240" w:lineRule="auto"/>
      <w:ind w:left="219"/>
    </w:pPr>
    <w:rPr>
      <w:rFonts w:ascii="Arial" w:eastAsia="Times New Roman" w:hAnsi="Arial"/>
      <w:szCs w:val="20"/>
    </w:rPr>
  </w:style>
  <w:style w:type="paragraph" w:styleId="stbilgi">
    <w:name w:val="header"/>
    <w:basedOn w:val="Normal"/>
    <w:link w:val="stbilgiChar"/>
    <w:uiPriority w:val="99"/>
    <w:rsid w:val="00E07296"/>
    <w:pPr>
      <w:tabs>
        <w:tab w:val="center" w:pos="4536"/>
        <w:tab w:val="right" w:pos="9072"/>
      </w:tabs>
      <w:spacing w:after="0" w:line="240" w:lineRule="auto"/>
    </w:pPr>
    <w:rPr>
      <w:rFonts w:eastAsia="SimSun"/>
      <w:lang w:eastAsia="zh-CN"/>
    </w:rPr>
  </w:style>
  <w:style w:type="character" w:customStyle="1" w:styleId="stbilgiChar">
    <w:name w:val="Üstbilgi Char"/>
    <w:basedOn w:val="VarsaylanParagrafYazTipi"/>
    <w:link w:val="stbilgi"/>
    <w:uiPriority w:val="99"/>
    <w:rsid w:val="00E07296"/>
    <w:rPr>
      <w:rFonts w:ascii="Times New Roman" w:eastAsia="SimSun" w:hAnsi="Times New Roman" w:cs="Times New Roman"/>
      <w:sz w:val="24"/>
      <w:szCs w:val="24"/>
      <w:lang w:eastAsia="zh-CN"/>
    </w:rPr>
  </w:style>
  <w:style w:type="paragraph" w:styleId="Altbilgi">
    <w:name w:val="footer"/>
    <w:basedOn w:val="Normal"/>
    <w:link w:val="AltbilgiChar"/>
    <w:uiPriority w:val="99"/>
    <w:unhideWhenUsed/>
    <w:rsid w:val="0061614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616146"/>
  </w:style>
  <w:style w:type="paragraph" w:styleId="ListeParagraf">
    <w:name w:val="List Paragraph"/>
    <w:basedOn w:val="Normal"/>
    <w:uiPriority w:val="34"/>
    <w:qFormat/>
    <w:rsid w:val="00350F5A"/>
    <w:pPr>
      <w:ind w:left="720"/>
      <w:contextualSpacing/>
    </w:pPr>
  </w:style>
  <w:style w:type="character" w:styleId="Vurgu">
    <w:name w:val="Emphasis"/>
    <w:basedOn w:val="VarsaylanParagrafYazTipi"/>
    <w:uiPriority w:val="20"/>
    <w:qFormat/>
    <w:rsid w:val="00843A5D"/>
    <w:rPr>
      <w:i/>
      <w:iCs/>
    </w:rPr>
  </w:style>
  <w:style w:type="paragraph" w:customStyle="1" w:styleId="EndNoteBibliographyTitle">
    <w:name w:val="EndNote Bibliography Title"/>
    <w:basedOn w:val="Normal"/>
    <w:link w:val="EndNoteBibliographyTitleChar"/>
    <w:rsid w:val="000C2A2E"/>
    <w:pPr>
      <w:spacing w:after="0"/>
      <w:jc w:val="center"/>
    </w:pPr>
    <w:rPr>
      <w:rFonts w:ascii="Calibri" w:hAnsi="Calibri"/>
      <w:noProof/>
    </w:rPr>
  </w:style>
  <w:style w:type="character" w:customStyle="1" w:styleId="EndNoteBibliographyTitleChar">
    <w:name w:val="EndNote Bibliography Title Char"/>
    <w:basedOn w:val="VarsaylanParagrafYazTipi"/>
    <w:link w:val="EndNoteBibliographyTitle"/>
    <w:rsid w:val="000C2A2E"/>
    <w:rPr>
      <w:rFonts w:ascii="Calibri" w:hAnsi="Calibri"/>
      <w:noProof/>
    </w:rPr>
  </w:style>
  <w:style w:type="paragraph" w:customStyle="1" w:styleId="EndNoteBibliography">
    <w:name w:val="EndNote Bibliography"/>
    <w:basedOn w:val="Normal"/>
    <w:link w:val="EndNoteBibliographyChar"/>
    <w:rsid w:val="000C2A2E"/>
    <w:pPr>
      <w:spacing w:line="240" w:lineRule="auto"/>
      <w:jc w:val="both"/>
    </w:pPr>
    <w:rPr>
      <w:rFonts w:ascii="Calibri" w:hAnsi="Calibri"/>
      <w:noProof/>
    </w:rPr>
  </w:style>
  <w:style w:type="character" w:customStyle="1" w:styleId="EndNoteBibliographyChar">
    <w:name w:val="EndNote Bibliography Char"/>
    <w:basedOn w:val="VarsaylanParagrafYazTipi"/>
    <w:link w:val="EndNoteBibliography"/>
    <w:rsid w:val="000C2A2E"/>
    <w:rPr>
      <w:rFonts w:ascii="Calibri" w:hAnsi="Calibri"/>
      <w:noProof/>
    </w:rPr>
  </w:style>
  <w:style w:type="paragraph" w:styleId="GvdeMetni2">
    <w:name w:val="Body Text 2"/>
    <w:basedOn w:val="Normal"/>
    <w:link w:val="GvdeMetni2Char"/>
    <w:rsid w:val="000C2A2E"/>
    <w:pPr>
      <w:spacing w:after="120" w:line="480" w:lineRule="auto"/>
    </w:pPr>
    <w:rPr>
      <w:rFonts w:eastAsia="Times New Roman"/>
    </w:rPr>
  </w:style>
  <w:style w:type="character" w:customStyle="1" w:styleId="GvdeMetni2Char">
    <w:name w:val="Gövde Metni 2 Char"/>
    <w:basedOn w:val="VarsaylanParagrafYazTipi"/>
    <w:link w:val="GvdeMetni2"/>
    <w:rsid w:val="000C2A2E"/>
    <w:rPr>
      <w:rFonts w:ascii="Times New Roman" w:eastAsia="Times New Roman" w:hAnsi="Times New Roman" w:cs="Times New Roman"/>
      <w:sz w:val="24"/>
      <w:szCs w:val="24"/>
    </w:rPr>
  </w:style>
  <w:style w:type="table" w:styleId="TabloKlavuzu">
    <w:name w:val="Table Grid"/>
    <w:basedOn w:val="NormalTablo"/>
    <w:uiPriority w:val="59"/>
    <w:rsid w:val="000C2A2E"/>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ralkYok">
    <w:name w:val="No Spacing"/>
    <w:uiPriority w:val="1"/>
    <w:qFormat/>
    <w:rsid w:val="000C2A2E"/>
    <w:pPr>
      <w:spacing w:after="0" w:line="240" w:lineRule="auto"/>
    </w:pPr>
  </w:style>
  <w:style w:type="character" w:customStyle="1" w:styleId="GvdeMetniChar">
    <w:name w:val="Gövde Metni Char"/>
    <w:basedOn w:val="VarsaylanParagrafYazTipi"/>
    <w:link w:val="GvdeMetni"/>
    <w:rsid w:val="000C2A2E"/>
    <w:rPr>
      <w:b/>
      <w:noProof w:val="0"/>
      <w:sz w:val="24"/>
      <w:lang w:val="tr-TR" w:eastAsia="tr-TR" w:bidi="ar-SA"/>
    </w:rPr>
  </w:style>
  <w:style w:type="paragraph" w:customStyle="1" w:styleId="Default">
    <w:name w:val="Default"/>
    <w:rsid w:val="00BE690F"/>
    <w:pPr>
      <w:autoSpaceDE w:val="0"/>
      <w:autoSpaceDN w:val="0"/>
      <w:adjustRightInd w:val="0"/>
      <w:spacing w:after="0" w:line="240" w:lineRule="auto"/>
    </w:pPr>
    <w:rPr>
      <w:color w:val="000000"/>
    </w:rPr>
  </w:style>
  <w:style w:type="paragraph" w:styleId="BalonMetni">
    <w:name w:val="Balloon Text"/>
    <w:basedOn w:val="Normal"/>
    <w:link w:val="BalonMetniChar"/>
    <w:uiPriority w:val="99"/>
    <w:semiHidden/>
    <w:unhideWhenUsed/>
    <w:rsid w:val="00D955A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955AF"/>
    <w:rPr>
      <w:rFonts w:ascii="Tahoma" w:hAnsi="Tahoma" w:cs="Tahoma"/>
      <w:sz w:val="16"/>
      <w:szCs w:val="16"/>
    </w:rPr>
  </w:style>
  <w:style w:type="character" w:styleId="YerTutucuMetni">
    <w:name w:val="Placeholder Text"/>
    <w:basedOn w:val="VarsaylanParagrafYazTipi"/>
    <w:uiPriority w:val="99"/>
    <w:semiHidden/>
    <w:rsid w:val="00D955AF"/>
    <w:rPr>
      <w:color w:val="808080"/>
    </w:rPr>
  </w:style>
  <w:style w:type="paragraph" w:customStyle="1" w:styleId="endnotebibliography0">
    <w:name w:val="endnotebibliography"/>
    <w:basedOn w:val="Normal"/>
    <w:rsid w:val="00D0100E"/>
    <w:pPr>
      <w:spacing w:before="100" w:beforeAutospacing="1" w:after="100" w:afterAutospacing="1" w:line="240" w:lineRule="auto"/>
    </w:pPr>
    <w:rPr>
      <w:rFonts w:eastAsia="Times New Roman"/>
    </w:rPr>
  </w:style>
  <w:style w:type="paragraph" w:customStyle="1" w:styleId="balk10">
    <w:name w:val="başlık 1."/>
    <w:basedOn w:val="Balk1"/>
    <w:qFormat/>
    <w:rsid w:val="00183CFE"/>
    <w:pPr>
      <w:tabs>
        <w:tab w:val="left" w:pos="3045"/>
      </w:tabs>
      <w:spacing w:before="240" w:after="240" w:line="360" w:lineRule="auto"/>
      <w:ind w:firstLine="567"/>
    </w:pPr>
    <w:rPr>
      <w:rFonts w:ascii="Times New Roman" w:hAnsi="Times New Roman" w:cs="Times New Roman"/>
      <w:color w:val="000000" w:themeColor="text1"/>
      <w:sz w:val="24"/>
      <w:szCs w:val="24"/>
    </w:rPr>
  </w:style>
  <w:style w:type="paragraph" w:customStyle="1" w:styleId="balk20">
    <w:name w:val="başlık 2"/>
    <w:basedOn w:val="balk10"/>
    <w:qFormat/>
    <w:rsid w:val="00914F07"/>
  </w:style>
  <w:style w:type="character" w:customStyle="1" w:styleId="Balk1Char">
    <w:name w:val="Başlık 1 Char"/>
    <w:aliases w:val="TEZ-1 Char"/>
    <w:basedOn w:val="VarsaylanParagrafYazTipi"/>
    <w:link w:val="Balk1"/>
    <w:uiPriority w:val="9"/>
    <w:rsid w:val="0084166D"/>
    <w:rPr>
      <w:rFonts w:asciiTheme="majorHAnsi" w:eastAsiaTheme="majorEastAsia" w:hAnsiTheme="majorHAnsi" w:cstheme="majorBidi"/>
      <w:b/>
      <w:bCs/>
      <w:color w:val="365F91" w:themeColor="accent1" w:themeShade="BF"/>
      <w:sz w:val="28"/>
      <w:szCs w:val="28"/>
    </w:rPr>
  </w:style>
  <w:style w:type="paragraph" w:styleId="TBal">
    <w:name w:val="TOC Heading"/>
    <w:basedOn w:val="Balk1"/>
    <w:next w:val="Normal"/>
    <w:uiPriority w:val="39"/>
    <w:unhideWhenUsed/>
    <w:qFormat/>
    <w:rsid w:val="0084166D"/>
    <w:pPr>
      <w:outlineLvl w:val="9"/>
    </w:pPr>
    <w:rPr>
      <w:lang w:eastAsia="en-US"/>
    </w:rPr>
  </w:style>
  <w:style w:type="paragraph" w:styleId="T2">
    <w:name w:val="toc 2"/>
    <w:basedOn w:val="Normal"/>
    <w:next w:val="Normal"/>
    <w:autoRedefine/>
    <w:uiPriority w:val="39"/>
    <w:unhideWhenUsed/>
    <w:qFormat/>
    <w:rsid w:val="00C769BA"/>
    <w:pPr>
      <w:tabs>
        <w:tab w:val="right" w:pos="142"/>
        <w:tab w:val="left" w:pos="1418"/>
        <w:tab w:val="right" w:leader="dot" w:pos="8777"/>
      </w:tabs>
      <w:spacing w:after="0" w:line="360" w:lineRule="auto"/>
      <w:jc w:val="both"/>
    </w:pPr>
    <w:rPr>
      <w:lang w:eastAsia="en-US"/>
    </w:rPr>
  </w:style>
  <w:style w:type="paragraph" w:styleId="T1">
    <w:name w:val="toc 1"/>
    <w:basedOn w:val="Normal"/>
    <w:next w:val="Normal"/>
    <w:autoRedefine/>
    <w:uiPriority w:val="39"/>
    <w:unhideWhenUsed/>
    <w:qFormat/>
    <w:rsid w:val="002B45AE"/>
    <w:pPr>
      <w:tabs>
        <w:tab w:val="right" w:pos="0"/>
        <w:tab w:val="right" w:pos="1560"/>
        <w:tab w:val="right" w:leader="dot" w:pos="8777"/>
      </w:tabs>
      <w:spacing w:after="0" w:line="360" w:lineRule="auto"/>
      <w:jc w:val="both"/>
    </w:pPr>
    <w:rPr>
      <w:rFonts w:eastAsia="Calibri"/>
      <w:noProof/>
      <w:szCs w:val="32"/>
      <w:lang w:eastAsia="en-US"/>
    </w:rPr>
  </w:style>
  <w:style w:type="paragraph" w:styleId="T3">
    <w:name w:val="toc 3"/>
    <w:basedOn w:val="Normal"/>
    <w:next w:val="Normal"/>
    <w:autoRedefine/>
    <w:uiPriority w:val="39"/>
    <w:unhideWhenUsed/>
    <w:qFormat/>
    <w:rsid w:val="00B00E94"/>
    <w:pPr>
      <w:tabs>
        <w:tab w:val="left" w:pos="1418"/>
        <w:tab w:val="right" w:leader="dot" w:pos="8777"/>
      </w:tabs>
      <w:spacing w:after="100" w:line="360" w:lineRule="auto"/>
      <w:ind w:left="624" w:hanging="624"/>
    </w:pPr>
    <w:rPr>
      <w:lang w:eastAsia="en-US"/>
    </w:rPr>
  </w:style>
  <w:style w:type="character" w:customStyle="1" w:styleId="Balk3Char">
    <w:name w:val="Başlık 3 Char"/>
    <w:aliases w:val="Şekil Char,Tablo Char"/>
    <w:basedOn w:val="VarsaylanParagrafYazTipi"/>
    <w:link w:val="Balk3"/>
    <w:uiPriority w:val="9"/>
    <w:rsid w:val="006C66A2"/>
    <w:rPr>
      <w:rFonts w:asciiTheme="majorHAnsi" w:eastAsiaTheme="majorEastAsia" w:hAnsiTheme="majorHAnsi" w:cstheme="majorBidi"/>
      <w:b/>
      <w:bCs/>
      <w:color w:val="4F81BD" w:themeColor="accent1"/>
    </w:rPr>
  </w:style>
  <w:style w:type="character" w:styleId="Kpr">
    <w:name w:val="Hyperlink"/>
    <w:basedOn w:val="VarsaylanParagrafYazTipi"/>
    <w:uiPriority w:val="99"/>
    <w:unhideWhenUsed/>
    <w:rsid w:val="006C66A2"/>
    <w:rPr>
      <w:color w:val="0000FF" w:themeColor="hyperlink"/>
      <w:u w:val="single"/>
    </w:rPr>
  </w:style>
  <w:style w:type="character" w:customStyle="1" w:styleId="Balk4Char">
    <w:name w:val="Başlık 4 Char"/>
    <w:aliases w:val="TEZ-3 Char"/>
    <w:basedOn w:val="VarsaylanParagrafYazTipi"/>
    <w:link w:val="Balk4"/>
    <w:uiPriority w:val="9"/>
    <w:rsid w:val="006C66A2"/>
    <w:rPr>
      <w:rFonts w:asciiTheme="majorHAnsi" w:eastAsiaTheme="majorEastAsia" w:hAnsiTheme="majorHAnsi" w:cstheme="majorBidi"/>
      <w:b/>
      <w:bCs/>
      <w:i/>
      <w:iCs/>
      <w:color w:val="4F81BD" w:themeColor="accent1"/>
    </w:rPr>
  </w:style>
  <w:style w:type="paragraph" w:styleId="T4">
    <w:name w:val="toc 4"/>
    <w:basedOn w:val="Normal"/>
    <w:next w:val="Normal"/>
    <w:autoRedefine/>
    <w:uiPriority w:val="39"/>
    <w:unhideWhenUsed/>
    <w:rsid w:val="00C769BA"/>
    <w:pPr>
      <w:tabs>
        <w:tab w:val="left" w:pos="1418"/>
        <w:tab w:val="right" w:leader="dot" w:pos="8777"/>
      </w:tabs>
      <w:spacing w:after="100"/>
      <w:ind w:left="660" w:hanging="660"/>
    </w:pPr>
  </w:style>
  <w:style w:type="paragraph" w:styleId="ResimYazs">
    <w:name w:val="caption"/>
    <w:basedOn w:val="Normal"/>
    <w:next w:val="Normal"/>
    <w:uiPriority w:val="35"/>
    <w:unhideWhenUsed/>
    <w:qFormat/>
    <w:rsid w:val="00F415A0"/>
    <w:pPr>
      <w:spacing w:line="240" w:lineRule="auto"/>
    </w:pPr>
    <w:rPr>
      <w:b/>
      <w:bCs/>
      <w:color w:val="4F81BD" w:themeColor="accent1"/>
      <w:sz w:val="18"/>
      <w:szCs w:val="18"/>
    </w:rPr>
  </w:style>
  <w:style w:type="paragraph" w:styleId="ekillerTablosu">
    <w:name w:val="table of figures"/>
    <w:basedOn w:val="Normal"/>
    <w:next w:val="Normal"/>
    <w:link w:val="ekillerTablosuChar"/>
    <w:uiPriority w:val="99"/>
    <w:unhideWhenUsed/>
    <w:rsid w:val="004B03D3"/>
    <w:pPr>
      <w:spacing w:after="0"/>
      <w:ind w:left="480" w:hanging="480"/>
    </w:pPr>
    <w:rPr>
      <w:rFonts w:cstheme="minorHAnsi"/>
      <w:b/>
      <w:bCs/>
      <w:szCs w:val="20"/>
    </w:rPr>
  </w:style>
  <w:style w:type="paragraph" w:customStyle="1" w:styleId="Stil1">
    <w:name w:val="Stil1"/>
    <w:basedOn w:val="balk10"/>
    <w:qFormat/>
    <w:rsid w:val="00FC4D6E"/>
    <w:pPr>
      <w:jc w:val="center"/>
    </w:pPr>
    <w:rPr>
      <w:b w:val="0"/>
    </w:rPr>
  </w:style>
  <w:style w:type="paragraph" w:customStyle="1" w:styleId="Stil2">
    <w:name w:val="Stil2"/>
    <w:basedOn w:val="balk10"/>
    <w:qFormat/>
    <w:rsid w:val="00FC4D6E"/>
    <w:pPr>
      <w:jc w:val="center"/>
    </w:pPr>
    <w:rPr>
      <w:b w:val="0"/>
    </w:rPr>
  </w:style>
  <w:style w:type="numbering" w:customStyle="1" w:styleId="Stil3">
    <w:name w:val="Stil3"/>
    <w:uiPriority w:val="99"/>
    <w:rsid w:val="002D0716"/>
    <w:pPr>
      <w:numPr>
        <w:numId w:val="1"/>
      </w:numPr>
    </w:pPr>
  </w:style>
  <w:style w:type="numbering" w:customStyle="1" w:styleId="Stil4">
    <w:name w:val="Stil4"/>
    <w:uiPriority w:val="99"/>
    <w:rsid w:val="007036E2"/>
    <w:pPr>
      <w:numPr>
        <w:numId w:val="2"/>
      </w:numPr>
    </w:pPr>
  </w:style>
  <w:style w:type="paragraph" w:customStyle="1" w:styleId="Stil5">
    <w:name w:val="Stil5"/>
    <w:basedOn w:val="ListeParagraf"/>
    <w:next w:val="Stil1"/>
    <w:qFormat/>
    <w:rsid w:val="007036E2"/>
    <w:pPr>
      <w:autoSpaceDE w:val="0"/>
      <w:autoSpaceDN w:val="0"/>
      <w:adjustRightInd w:val="0"/>
      <w:spacing w:after="0" w:line="240" w:lineRule="auto"/>
      <w:ind w:left="0"/>
      <w:jc w:val="both"/>
      <w:outlineLvl w:val="3"/>
    </w:pPr>
    <w:rPr>
      <w:b/>
    </w:rPr>
  </w:style>
  <w:style w:type="numbering" w:customStyle="1" w:styleId="Stil6">
    <w:name w:val="Stil6"/>
    <w:uiPriority w:val="99"/>
    <w:rsid w:val="00FD0E32"/>
    <w:pPr>
      <w:numPr>
        <w:numId w:val="3"/>
      </w:numPr>
    </w:pPr>
  </w:style>
  <w:style w:type="numbering" w:customStyle="1" w:styleId="Stil7">
    <w:name w:val="Stil7"/>
    <w:uiPriority w:val="99"/>
    <w:rsid w:val="00FD0E32"/>
    <w:pPr>
      <w:numPr>
        <w:numId w:val="4"/>
      </w:numPr>
    </w:pPr>
  </w:style>
  <w:style w:type="character" w:customStyle="1" w:styleId="ekillerTablosuChar">
    <w:name w:val="Şekiller Tablosu Char"/>
    <w:basedOn w:val="VarsaylanParagrafYazTipi"/>
    <w:link w:val="ekillerTablosu"/>
    <w:uiPriority w:val="99"/>
    <w:rsid w:val="004B03D3"/>
    <w:rPr>
      <w:rFonts w:cstheme="minorHAnsi"/>
      <w:b/>
      <w:bCs/>
      <w:szCs w:val="20"/>
    </w:rPr>
  </w:style>
  <w:style w:type="paragraph" w:styleId="HTMLncedenBiimlendirilmi">
    <w:name w:val="HTML Preformatted"/>
    <w:basedOn w:val="Normal"/>
    <w:link w:val="HTMLncedenBiimlendirilmiChar"/>
    <w:uiPriority w:val="99"/>
    <w:unhideWhenUsed/>
    <w:rsid w:val="0033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ncedenBiimlendirilmiChar">
    <w:name w:val="HTML Önceden Biçimlendirilmiş Char"/>
    <w:basedOn w:val="VarsaylanParagrafYazTipi"/>
    <w:link w:val="HTMLncedenBiimlendirilmi"/>
    <w:uiPriority w:val="99"/>
    <w:rsid w:val="0033076B"/>
    <w:rPr>
      <w:rFonts w:ascii="Courier New" w:eastAsia="Times New Roman" w:hAnsi="Courier New" w:cs="Courier New"/>
      <w:sz w:val="20"/>
      <w:szCs w:val="20"/>
    </w:rPr>
  </w:style>
  <w:style w:type="table" w:customStyle="1" w:styleId="DzTablo21">
    <w:name w:val="Düz Tablo 21"/>
    <w:basedOn w:val="NormalTablo"/>
    <w:uiPriority w:val="42"/>
    <w:rsid w:val="00B7365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alk2Char">
    <w:name w:val="Başlık 2 Char"/>
    <w:aliases w:val="TEZ-2 Char"/>
    <w:basedOn w:val="VarsaylanParagrafYazTipi"/>
    <w:link w:val="Balk2"/>
    <w:uiPriority w:val="9"/>
    <w:rsid w:val="00466EA0"/>
    <w:rPr>
      <w:rFonts w:asciiTheme="majorHAnsi" w:eastAsiaTheme="majorEastAsia" w:hAnsiTheme="majorHAnsi" w:cstheme="majorBidi"/>
      <w:color w:val="365F91" w:themeColor="accent1" w:themeShade="BF"/>
      <w:sz w:val="26"/>
      <w:szCs w:val="26"/>
    </w:rPr>
  </w:style>
  <w:style w:type="character" w:customStyle="1" w:styleId="Balk5Char">
    <w:name w:val="Başlık 5 Char"/>
    <w:aliases w:val="TEZ-4 Char"/>
    <w:basedOn w:val="VarsaylanParagrafYazTipi"/>
    <w:link w:val="Balk5"/>
    <w:uiPriority w:val="9"/>
    <w:rsid w:val="002C3C94"/>
    <w:rPr>
      <w:rFonts w:asciiTheme="majorHAnsi" w:eastAsiaTheme="majorEastAsia" w:hAnsiTheme="majorHAnsi" w:cstheme="majorBidi"/>
      <w:color w:val="365F91" w:themeColor="accent1" w:themeShade="BF"/>
    </w:rPr>
  </w:style>
  <w:style w:type="paragraph" w:customStyle="1" w:styleId="Balk61">
    <w:name w:val="Başlık 61"/>
    <w:basedOn w:val="Normal"/>
    <w:next w:val="Normal"/>
    <w:uiPriority w:val="9"/>
    <w:unhideWhenUsed/>
    <w:rsid w:val="002C3C94"/>
    <w:pPr>
      <w:keepNext/>
      <w:keepLines/>
      <w:spacing w:before="40" w:after="0" w:line="259" w:lineRule="auto"/>
      <w:outlineLvl w:val="5"/>
    </w:pPr>
    <w:rPr>
      <w:rFonts w:ascii="Calibri Light" w:eastAsia="Times New Roman" w:hAnsi="Calibri Light"/>
      <w:color w:val="1F3763"/>
      <w:sz w:val="22"/>
      <w:szCs w:val="22"/>
      <w:lang w:eastAsia="en-US"/>
    </w:rPr>
  </w:style>
  <w:style w:type="paragraph" w:customStyle="1" w:styleId="Balk71">
    <w:name w:val="Başlık 71"/>
    <w:basedOn w:val="Normal"/>
    <w:next w:val="Normal"/>
    <w:uiPriority w:val="9"/>
    <w:semiHidden/>
    <w:unhideWhenUsed/>
    <w:qFormat/>
    <w:rsid w:val="002C3C94"/>
    <w:pPr>
      <w:keepNext/>
      <w:keepLines/>
      <w:spacing w:before="40" w:after="0" w:line="259" w:lineRule="auto"/>
      <w:outlineLvl w:val="6"/>
    </w:pPr>
    <w:rPr>
      <w:rFonts w:ascii="Calibri Light" w:eastAsia="Times New Roman" w:hAnsi="Calibri Light"/>
      <w:i/>
      <w:iCs/>
      <w:color w:val="1F3763"/>
      <w:sz w:val="22"/>
      <w:szCs w:val="22"/>
      <w:lang w:eastAsia="en-US"/>
    </w:rPr>
  </w:style>
  <w:style w:type="paragraph" w:customStyle="1" w:styleId="Balk81">
    <w:name w:val="Başlık 81"/>
    <w:basedOn w:val="Normal"/>
    <w:next w:val="Normal"/>
    <w:uiPriority w:val="9"/>
    <w:semiHidden/>
    <w:unhideWhenUsed/>
    <w:qFormat/>
    <w:rsid w:val="002C3C94"/>
    <w:pPr>
      <w:keepNext/>
      <w:keepLines/>
      <w:spacing w:before="40" w:after="0" w:line="259" w:lineRule="auto"/>
      <w:outlineLvl w:val="7"/>
    </w:pPr>
    <w:rPr>
      <w:rFonts w:ascii="Calibri Light" w:eastAsia="Times New Roman" w:hAnsi="Calibri Light"/>
      <w:color w:val="272727"/>
      <w:sz w:val="21"/>
      <w:szCs w:val="21"/>
      <w:lang w:eastAsia="en-US"/>
    </w:rPr>
  </w:style>
  <w:style w:type="paragraph" w:customStyle="1" w:styleId="Balk91">
    <w:name w:val="Başlık 91"/>
    <w:basedOn w:val="Normal"/>
    <w:next w:val="Normal"/>
    <w:uiPriority w:val="9"/>
    <w:semiHidden/>
    <w:unhideWhenUsed/>
    <w:qFormat/>
    <w:rsid w:val="002C3C94"/>
    <w:pPr>
      <w:keepNext/>
      <w:keepLines/>
      <w:spacing w:before="40" w:after="0" w:line="259" w:lineRule="auto"/>
      <w:outlineLvl w:val="8"/>
    </w:pPr>
    <w:rPr>
      <w:rFonts w:ascii="Calibri Light" w:eastAsia="Times New Roman" w:hAnsi="Calibri Light"/>
      <w:i/>
      <w:iCs/>
      <w:color w:val="272727"/>
      <w:sz w:val="21"/>
      <w:szCs w:val="21"/>
      <w:lang w:eastAsia="en-US"/>
    </w:rPr>
  </w:style>
  <w:style w:type="numbering" w:customStyle="1" w:styleId="ListeYok1">
    <w:name w:val="Liste Yok1"/>
    <w:next w:val="ListeYok"/>
    <w:uiPriority w:val="99"/>
    <w:semiHidden/>
    <w:unhideWhenUsed/>
    <w:rsid w:val="002C3C94"/>
  </w:style>
  <w:style w:type="paragraph" w:styleId="Dizin1">
    <w:name w:val="index 1"/>
    <w:basedOn w:val="Normal"/>
    <w:next w:val="Normal"/>
    <w:autoRedefine/>
    <w:uiPriority w:val="99"/>
    <w:semiHidden/>
    <w:unhideWhenUsed/>
    <w:rsid w:val="002C3C94"/>
    <w:pPr>
      <w:spacing w:after="0" w:line="240" w:lineRule="auto"/>
      <w:ind w:left="220" w:hanging="220"/>
    </w:pPr>
    <w:rPr>
      <w:rFonts w:ascii="Calibri" w:eastAsia="Calibri" w:hAnsi="Calibri"/>
      <w:color w:val="auto"/>
      <w:sz w:val="22"/>
      <w:szCs w:val="22"/>
      <w:lang w:eastAsia="en-US"/>
    </w:rPr>
  </w:style>
  <w:style w:type="character" w:customStyle="1" w:styleId="Balk6Char">
    <w:name w:val="Başlık 6 Char"/>
    <w:basedOn w:val="VarsaylanParagrafYazTipi"/>
    <w:link w:val="Balk6"/>
    <w:uiPriority w:val="9"/>
    <w:rsid w:val="00914F07"/>
    <w:rPr>
      <w:rFonts w:eastAsia="Times New Roman"/>
      <w:b/>
      <w:color w:val="auto"/>
    </w:rPr>
  </w:style>
  <w:style w:type="character" w:customStyle="1" w:styleId="Balk7Char">
    <w:name w:val="Başlık 7 Char"/>
    <w:basedOn w:val="VarsaylanParagrafYazTipi"/>
    <w:link w:val="Balk7"/>
    <w:uiPriority w:val="9"/>
    <w:rsid w:val="00914F07"/>
    <w:rPr>
      <w:rFonts w:eastAsia="Times New Roman"/>
      <w:b/>
      <w:iCs/>
      <w:color w:val="auto"/>
    </w:rPr>
  </w:style>
  <w:style w:type="character" w:customStyle="1" w:styleId="Balk8Char">
    <w:name w:val="Başlık 8 Char"/>
    <w:basedOn w:val="VarsaylanParagrafYazTipi"/>
    <w:link w:val="Balk8"/>
    <w:uiPriority w:val="9"/>
    <w:semiHidden/>
    <w:rsid w:val="002C3C94"/>
    <w:rPr>
      <w:rFonts w:ascii="Calibri Light" w:eastAsia="Times New Roman" w:hAnsi="Calibri Light" w:cs="Times New Roman"/>
      <w:color w:val="272727"/>
      <w:sz w:val="21"/>
      <w:szCs w:val="21"/>
    </w:rPr>
  </w:style>
  <w:style w:type="character" w:customStyle="1" w:styleId="Balk9Char">
    <w:name w:val="Başlık 9 Char"/>
    <w:basedOn w:val="VarsaylanParagrafYazTipi"/>
    <w:link w:val="Balk9"/>
    <w:uiPriority w:val="9"/>
    <w:semiHidden/>
    <w:rsid w:val="002C3C94"/>
    <w:rPr>
      <w:rFonts w:ascii="Calibri Light" w:eastAsia="Times New Roman" w:hAnsi="Calibri Light" w:cs="Times New Roman"/>
      <w:i/>
      <w:iCs/>
      <w:color w:val="272727"/>
      <w:sz w:val="21"/>
      <w:szCs w:val="21"/>
    </w:rPr>
  </w:style>
  <w:style w:type="character" w:styleId="AklamaBavurusu">
    <w:name w:val="annotation reference"/>
    <w:basedOn w:val="VarsaylanParagrafYazTipi"/>
    <w:uiPriority w:val="99"/>
    <w:semiHidden/>
    <w:unhideWhenUsed/>
    <w:rsid w:val="002C3C94"/>
    <w:rPr>
      <w:sz w:val="16"/>
      <w:szCs w:val="16"/>
    </w:rPr>
  </w:style>
  <w:style w:type="paragraph" w:styleId="AklamaMetni">
    <w:name w:val="annotation text"/>
    <w:basedOn w:val="Normal"/>
    <w:link w:val="AklamaMetniChar"/>
    <w:uiPriority w:val="99"/>
    <w:semiHidden/>
    <w:unhideWhenUsed/>
    <w:rsid w:val="002C3C94"/>
    <w:pPr>
      <w:spacing w:after="160" w:line="240" w:lineRule="auto"/>
    </w:pPr>
    <w:rPr>
      <w:rFonts w:ascii="Calibri" w:eastAsia="Calibri" w:hAnsi="Calibri"/>
      <w:color w:val="auto"/>
      <w:sz w:val="20"/>
      <w:szCs w:val="20"/>
      <w:lang w:eastAsia="en-US"/>
    </w:rPr>
  </w:style>
  <w:style w:type="character" w:customStyle="1" w:styleId="AklamaMetniChar">
    <w:name w:val="Açıklama Metni Char"/>
    <w:basedOn w:val="VarsaylanParagrafYazTipi"/>
    <w:link w:val="AklamaMetni"/>
    <w:uiPriority w:val="99"/>
    <w:semiHidden/>
    <w:rsid w:val="002C3C94"/>
    <w:rPr>
      <w:rFonts w:ascii="Calibri" w:eastAsia="Calibri" w:hAnsi="Calibri"/>
      <w:color w:val="auto"/>
      <w:sz w:val="20"/>
      <w:szCs w:val="20"/>
      <w:lang w:eastAsia="en-US"/>
    </w:rPr>
  </w:style>
  <w:style w:type="paragraph" w:styleId="AklamaKonusu">
    <w:name w:val="annotation subject"/>
    <w:basedOn w:val="AklamaMetni"/>
    <w:next w:val="AklamaMetni"/>
    <w:link w:val="AklamaKonusuChar"/>
    <w:uiPriority w:val="99"/>
    <w:semiHidden/>
    <w:unhideWhenUsed/>
    <w:rsid w:val="002C3C94"/>
    <w:rPr>
      <w:b/>
      <w:bCs/>
    </w:rPr>
  </w:style>
  <w:style w:type="character" w:customStyle="1" w:styleId="AklamaKonusuChar">
    <w:name w:val="Açıklama Konusu Char"/>
    <w:basedOn w:val="AklamaMetniChar"/>
    <w:link w:val="AklamaKonusu"/>
    <w:uiPriority w:val="99"/>
    <w:semiHidden/>
    <w:rsid w:val="002C3C94"/>
    <w:rPr>
      <w:rFonts w:ascii="Calibri" w:eastAsia="Calibri" w:hAnsi="Calibri"/>
      <w:b/>
      <w:bCs/>
      <w:color w:val="auto"/>
      <w:sz w:val="20"/>
      <w:szCs w:val="20"/>
      <w:lang w:eastAsia="en-US"/>
    </w:rPr>
  </w:style>
  <w:style w:type="table" w:customStyle="1" w:styleId="TabloKlavuzu1">
    <w:name w:val="Tablo Kılavuzu1"/>
    <w:basedOn w:val="NormalTablo"/>
    <w:next w:val="TabloKlavuzu"/>
    <w:uiPriority w:val="39"/>
    <w:rsid w:val="002C3C94"/>
    <w:pPr>
      <w:spacing w:after="0" w:line="240" w:lineRule="auto"/>
    </w:pPr>
    <w:rPr>
      <w:rFonts w:ascii="Calibri" w:eastAsia="Calibri" w:hAnsi="Calibri"/>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next w:val="TabloKlavuzu"/>
    <w:uiPriority w:val="39"/>
    <w:rsid w:val="002C3C94"/>
    <w:pPr>
      <w:spacing w:after="0" w:line="240" w:lineRule="auto"/>
    </w:pPr>
    <w:rPr>
      <w:rFonts w:ascii="Calibri" w:eastAsia="Calibri" w:hAnsi="Calibri"/>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39"/>
    <w:rsid w:val="002C3C94"/>
    <w:pPr>
      <w:spacing w:after="0" w:line="240" w:lineRule="auto"/>
    </w:pPr>
    <w:rPr>
      <w:rFonts w:ascii="Calibri" w:eastAsia="Calibri" w:hAnsi="Calibri"/>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5">
    <w:name w:val="toc 5"/>
    <w:basedOn w:val="Normal"/>
    <w:next w:val="Normal"/>
    <w:autoRedefine/>
    <w:uiPriority w:val="39"/>
    <w:unhideWhenUsed/>
    <w:rsid w:val="002C3C94"/>
    <w:pPr>
      <w:spacing w:after="100" w:line="259" w:lineRule="auto"/>
      <w:ind w:left="880"/>
    </w:pPr>
    <w:rPr>
      <w:rFonts w:ascii="Calibri" w:eastAsia="Calibri" w:hAnsi="Calibri"/>
      <w:color w:val="auto"/>
      <w:sz w:val="22"/>
      <w:szCs w:val="22"/>
      <w:lang w:eastAsia="en-US"/>
    </w:rPr>
  </w:style>
  <w:style w:type="paragraph" w:customStyle="1" w:styleId="ekil">
    <w:name w:val="şekil"/>
    <w:next w:val="Normal"/>
    <w:link w:val="ekilChar"/>
    <w:autoRedefine/>
    <w:qFormat/>
    <w:rsid w:val="002C3C94"/>
    <w:pPr>
      <w:spacing w:after="160" w:line="259" w:lineRule="auto"/>
    </w:pPr>
    <w:rPr>
      <w:rFonts w:eastAsia="Times New Roman"/>
      <w:b/>
      <w:color w:val="auto"/>
      <w:sz w:val="22"/>
      <w:szCs w:val="22"/>
      <w:lang w:eastAsia="en-US"/>
    </w:rPr>
  </w:style>
  <w:style w:type="character" w:customStyle="1" w:styleId="ekilChar">
    <w:name w:val="şekil Char"/>
    <w:basedOn w:val="VarsaylanParagrafYazTipi"/>
    <w:link w:val="ekil"/>
    <w:rsid w:val="002C3C94"/>
    <w:rPr>
      <w:rFonts w:eastAsia="Times New Roman"/>
      <w:b/>
      <w:color w:val="auto"/>
      <w:sz w:val="22"/>
      <w:szCs w:val="22"/>
      <w:lang w:eastAsia="en-US"/>
    </w:rPr>
  </w:style>
  <w:style w:type="character" w:customStyle="1" w:styleId="Balk6Char1">
    <w:name w:val="Başlık 6 Char1"/>
    <w:basedOn w:val="VarsaylanParagrafYazTipi"/>
    <w:uiPriority w:val="9"/>
    <w:semiHidden/>
    <w:rsid w:val="002C3C94"/>
    <w:rPr>
      <w:rFonts w:asciiTheme="majorHAnsi" w:eastAsiaTheme="majorEastAsia" w:hAnsiTheme="majorHAnsi" w:cstheme="majorBidi"/>
      <w:color w:val="243F60" w:themeColor="accent1" w:themeShade="7F"/>
    </w:rPr>
  </w:style>
  <w:style w:type="character" w:customStyle="1" w:styleId="Balk7Char1">
    <w:name w:val="Başlık 7 Char1"/>
    <w:basedOn w:val="VarsaylanParagrafYazTipi"/>
    <w:uiPriority w:val="9"/>
    <w:semiHidden/>
    <w:rsid w:val="002C3C94"/>
    <w:rPr>
      <w:rFonts w:asciiTheme="majorHAnsi" w:eastAsiaTheme="majorEastAsia" w:hAnsiTheme="majorHAnsi" w:cstheme="majorBidi"/>
      <w:i/>
      <w:iCs/>
      <w:color w:val="243F60" w:themeColor="accent1" w:themeShade="7F"/>
    </w:rPr>
  </w:style>
  <w:style w:type="character" w:customStyle="1" w:styleId="Balk8Char1">
    <w:name w:val="Başlık 8 Char1"/>
    <w:basedOn w:val="VarsaylanParagrafYazTipi"/>
    <w:uiPriority w:val="9"/>
    <w:semiHidden/>
    <w:rsid w:val="002C3C94"/>
    <w:rPr>
      <w:rFonts w:asciiTheme="majorHAnsi" w:eastAsiaTheme="majorEastAsia" w:hAnsiTheme="majorHAnsi" w:cstheme="majorBidi"/>
      <w:color w:val="272727" w:themeColor="text1" w:themeTint="D8"/>
      <w:sz w:val="21"/>
      <w:szCs w:val="21"/>
    </w:rPr>
  </w:style>
  <w:style w:type="character" w:customStyle="1" w:styleId="Balk9Char1">
    <w:name w:val="Başlık 9 Char1"/>
    <w:basedOn w:val="VarsaylanParagrafYazTipi"/>
    <w:uiPriority w:val="9"/>
    <w:semiHidden/>
    <w:rsid w:val="002C3C94"/>
    <w:rPr>
      <w:rFonts w:asciiTheme="majorHAnsi" w:eastAsiaTheme="majorEastAsia" w:hAnsiTheme="majorHAnsi" w:cstheme="majorBidi"/>
      <w:i/>
      <w:iCs/>
      <w:color w:val="272727" w:themeColor="text1" w:themeTint="D8"/>
      <w:sz w:val="21"/>
      <w:szCs w:val="21"/>
    </w:rPr>
  </w:style>
  <w:style w:type="character" w:customStyle="1" w:styleId="zmlenmeyenBahsetme1">
    <w:name w:val="Çözümlenmeyen Bahsetme1"/>
    <w:basedOn w:val="VarsaylanParagrafYazTipi"/>
    <w:uiPriority w:val="99"/>
    <w:semiHidden/>
    <w:unhideWhenUsed/>
    <w:rsid w:val="00E24CFD"/>
    <w:rPr>
      <w:color w:val="605E5C"/>
      <w:shd w:val="clear" w:color="auto" w:fill="E1DFDD"/>
    </w:rPr>
  </w:style>
  <w:style w:type="character" w:styleId="SayfaNumaras">
    <w:name w:val="page number"/>
    <w:basedOn w:val="VarsaylanParagrafYazTipi"/>
    <w:unhideWhenUsed/>
    <w:rsid w:val="001A1F4A"/>
  </w:style>
  <w:style w:type="table" w:customStyle="1" w:styleId="TabloKlavuzu11">
    <w:name w:val="Tablo Kılavuzu11"/>
    <w:basedOn w:val="NormalTablo"/>
    <w:next w:val="TabloKlavuzu"/>
    <w:uiPriority w:val="39"/>
    <w:rsid w:val="00C82D5B"/>
    <w:pPr>
      <w:spacing w:after="0" w:line="240" w:lineRule="auto"/>
    </w:pPr>
    <w:rPr>
      <w:rFonts w:ascii="Calibri" w:eastAsia="Calibri" w:hAnsi="Calibri"/>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2">
    <w:name w:val="Tablo Kılavuzu12"/>
    <w:basedOn w:val="NormalTablo"/>
    <w:next w:val="TabloKlavuzu"/>
    <w:uiPriority w:val="39"/>
    <w:rsid w:val="008C6006"/>
    <w:pPr>
      <w:spacing w:after="0" w:line="240" w:lineRule="auto"/>
    </w:pPr>
    <w:rPr>
      <w:rFonts w:ascii="Calibri" w:eastAsia="Calibri" w:hAnsi="Calibri"/>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3">
    <w:name w:val="Tablo Kılavuzu13"/>
    <w:basedOn w:val="NormalTablo"/>
    <w:next w:val="TabloKlavuzu"/>
    <w:uiPriority w:val="39"/>
    <w:rsid w:val="008C6006"/>
    <w:pPr>
      <w:spacing w:after="0" w:line="240" w:lineRule="auto"/>
    </w:pPr>
    <w:rPr>
      <w:rFonts w:ascii="Calibri" w:eastAsia="Calibri" w:hAnsi="Calibri"/>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4">
    <w:name w:val="Tablo Kılavuzu14"/>
    <w:basedOn w:val="NormalTablo"/>
    <w:next w:val="TabloKlavuzu"/>
    <w:uiPriority w:val="39"/>
    <w:rsid w:val="001568A7"/>
    <w:pPr>
      <w:spacing w:after="0" w:line="240" w:lineRule="auto"/>
    </w:pPr>
    <w:rPr>
      <w:rFonts w:ascii="Calibri" w:eastAsia="Calibri" w:hAnsi="Calibri"/>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5">
    <w:name w:val="Tablo Kılavuzu15"/>
    <w:basedOn w:val="NormalTablo"/>
    <w:next w:val="TabloKlavuzu"/>
    <w:uiPriority w:val="39"/>
    <w:rsid w:val="00AA6064"/>
    <w:pPr>
      <w:spacing w:after="0" w:line="240" w:lineRule="auto"/>
    </w:pPr>
    <w:rPr>
      <w:rFonts w:ascii="Calibri" w:eastAsia="Calibri" w:hAnsi="Calibri"/>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6">
    <w:name w:val="toc 6"/>
    <w:basedOn w:val="Normal"/>
    <w:next w:val="Normal"/>
    <w:autoRedefine/>
    <w:uiPriority w:val="39"/>
    <w:unhideWhenUsed/>
    <w:rsid w:val="00091CC7"/>
    <w:pPr>
      <w:spacing w:after="100" w:line="259" w:lineRule="auto"/>
      <w:ind w:left="1100"/>
    </w:pPr>
    <w:rPr>
      <w:rFonts w:asciiTheme="minorHAnsi" w:hAnsiTheme="minorHAnsi" w:cstheme="minorBidi"/>
      <w:color w:val="auto"/>
      <w:sz w:val="22"/>
      <w:szCs w:val="22"/>
    </w:rPr>
  </w:style>
  <w:style w:type="paragraph" w:styleId="T7">
    <w:name w:val="toc 7"/>
    <w:basedOn w:val="Normal"/>
    <w:next w:val="Normal"/>
    <w:autoRedefine/>
    <w:uiPriority w:val="39"/>
    <w:unhideWhenUsed/>
    <w:rsid w:val="00091CC7"/>
    <w:pPr>
      <w:spacing w:after="100" w:line="259" w:lineRule="auto"/>
      <w:ind w:left="1320"/>
    </w:pPr>
    <w:rPr>
      <w:rFonts w:asciiTheme="minorHAnsi" w:hAnsiTheme="minorHAnsi" w:cstheme="minorBidi"/>
      <w:color w:val="auto"/>
      <w:sz w:val="22"/>
      <w:szCs w:val="22"/>
    </w:rPr>
  </w:style>
  <w:style w:type="paragraph" w:styleId="T8">
    <w:name w:val="toc 8"/>
    <w:basedOn w:val="Normal"/>
    <w:next w:val="Normal"/>
    <w:autoRedefine/>
    <w:uiPriority w:val="39"/>
    <w:unhideWhenUsed/>
    <w:rsid w:val="00091CC7"/>
    <w:pPr>
      <w:spacing w:after="100" w:line="259" w:lineRule="auto"/>
      <w:ind w:left="1540"/>
    </w:pPr>
    <w:rPr>
      <w:rFonts w:asciiTheme="minorHAnsi" w:hAnsiTheme="minorHAnsi" w:cstheme="minorBidi"/>
      <w:color w:val="auto"/>
      <w:sz w:val="22"/>
      <w:szCs w:val="22"/>
    </w:rPr>
  </w:style>
  <w:style w:type="paragraph" w:styleId="T9">
    <w:name w:val="toc 9"/>
    <w:basedOn w:val="Normal"/>
    <w:next w:val="Normal"/>
    <w:autoRedefine/>
    <w:uiPriority w:val="39"/>
    <w:unhideWhenUsed/>
    <w:rsid w:val="00091CC7"/>
    <w:pPr>
      <w:spacing w:after="100" w:line="259" w:lineRule="auto"/>
      <w:ind w:left="1760"/>
    </w:pPr>
    <w:rPr>
      <w:rFonts w:asciiTheme="minorHAnsi" w:hAnsiTheme="minorHAnsi" w:cstheme="minorBidi"/>
      <w:color w:val="auto"/>
      <w:sz w:val="22"/>
      <w:szCs w:val="22"/>
    </w:rPr>
  </w:style>
  <w:style w:type="paragraph" w:styleId="Altyaz">
    <w:name w:val="Subtitle"/>
    <w:basedOn w:val="Normal"/>
    <w:next w:val="Normal"/>
    <w:link w:val="AltyazChar"/>
    <w:qFormat/>
    <w:rsid w:val="00827707"/>
    <w:pPr>
      <w:numPr>
        <w:ilvl w:val="1"/>
      </w:numPr>
      <w:spacing w:after="480" w:line="360" w:lineRule="auto"/>
      <w:jc w:val="both"/>
    </w:pPr>
    <w:rPr>
      <w:rFonts w:eastAsia="Times New Roman"/>
      <w:iCs/>
      <w:color w:val="auto"/>
      <w:spacing w:val="15"/>
      <w:lang w:eastAsia="en-US"/>
    </w:rPr>
  </w:style>
  <w:style w:type="character" w:customStyle="1" w:styleId="AltyazChar">
    <w:name w:val="Altyazı Char"/>
    <w:basedOn w:val="VarsaylanParagrafYazTipi"/>
    <w:link w:val="Altyaz"/>
    <w:rsid w:val="00827707"/>
    <w:rPr>
      <w:rFonts w:eastAsia="Times New Roman"/>
      <w:iCs/>
      <w:color w:val="auto"/>
      <w:spacing w:val="15"/>
      <w:lang w:eastAsia="en-US"/>
    </w:rPr>
  </w:style>
  <w:style w:type="character" w:styleId="zlenenKpr">
    <w:name w:val="FollowedHyperlink"/>
    <w:basedOn w:val="VarsaylanParagrafYazTipi"/>
    <w:uiPriority w:val="99"/>
    <w:semiHidden/>
    <w:unhideWhenUsed/>
    <w:rsid w:val="006D6B8E"/>
    <w:rPr>
      <w:color w:val="800080" w:themeColor="followedHyperlink"/>
      <w:u w:val="single"/>
    </w:rPr>
  </w:style>
  <w:style w:type="paragraph" w:styleId="GvdeMetni">
    <w:name w:val="Body Text"/>
    <w:basedOn w:val="Normal"/>
    <w:link w:val="GvdeMetniChar"/>
    <w:qFormat/>
    <w:rsid w:val="007943A0"/>
    <w:pPr>
      <w:widowControl w:val="0"/>
      <w:spacing w:after="0" w:line="240" w:lineRule="auto"/>
      <w:ind w:left="102"/>
    </w:pPr>
    <w:rPr>
      <w:b/>
    </w:rPr>
  </w:style>
  <w:style w:type="character" w:customStyle="1" w:styleId="GvdeMetniChar1">
    <w:name w:val="Gövde Metni Char1"/>
    <w:basedOn w:val="VarsaylanParagrafYazTipi"/>
    <w:uiPriority w:val="99"/>
    <w:semiHidden/>
    <w:rsid w:val="007943A0"/>
  </w:style>
  <w:style w:type="paragraph" w:customStyle="1" w:styleId="TableParagraph">
    <w:name w:val="Table Paragraph"/>
    <w:basedOn w:val="Normal"/>
    <w:uiPriority w:val="1"/>
    <w:qFormat/>
    <w:rsid w:val="007943A0"/>
    <w:pPr>
      <w:widowControl w:val="0"/>
      <w:spacing w:after="0" w:line="240" w:lineRule="auto"/>
    </w:pPr>
    <w:rPr>
      <w:rFonts w:asciiTheme="minorHAnsi" w:eastAsiaTheme="minorHAnsi" w:hAnsiTheme="minorHAnsi" w:cstheme="minorBidi"/>
      <w:color w:val="auto"/>
      <w:sz w:val="22"/>
      <w:szCs w:val="22"/>
      <w:lang w:val="en-US" w:eastAsia="en-US"/>
    </w:rPr>
  </w:style>
  <w:style w:type="paragraph" w:customStyle="1" w:styleId="WW-NormalWeb1">
    <w:name w:val="WW-Normal (Web)1"/>
    <w:basedOn w:val="Normal"/>
    <w:rsid w:val="007943A0"/>
    <w:pPr>
      <w:spacing w:before="280" w:after="119" w:line="240" w:lineRule="auto"/>
    </w:pPr>
    <w:rPr>
      <w:rFonts w:eastAsia="Times New Roman"/>
      <w:color w:val="auto"/>
      <w:lang w:eastAsia="ar-SA"/>
    </w:rPr>
  </w:style>
  <w:style w:type="paragraph" w:styleId="KonuBal">
    <w:name w:val="Title"/>
    <w:basedOn w:val="Normal"/>
    <w:link w:val="KonuBalChar"/>
    <w:qFormat/>
    <w:rsid w:val="007943A0"/>
    <w:pPr>
      <w:spacing w:after="0" w:line="240" w:lineRule="auto"/>
      <w:jc w:val="center"/>
    </w:pPr>
    <w:rPr>
      <w:rFonts w:eastAsia="Times New Roman"/>
      <w:b/>
      <w:bCs/>
      <w:color w:val="auto"/>
    </w:rPr>
  </w:style>
  <w:style w:type="character" w:customStyle="1" w:styleId="KonuBalChar">
    <w:name w:val="Konu Başlığı Char"/>
    <w:basedOn w:val="VarsaylanParagrafYazTipi"/>
    <w:link w:val="KonuBal"/>
    <w:rsid w:val="007943A0"/>
    <w:rPr>
      <w:rFonts w:eastAsia="Times New Roman"/>
      <w:b/>
      <w:bCs/>
      <w:color w:val="auto"/>
    </w:rPr>
  </w:style>
  <w:style w:type="paragraph" w:customStyle="1" w:styleId="grafik">
    <w:name w:val="grafik"/>
    <w:basedOn w:val="Normal"/>
    <w:rsid w:val="007943A0"/>
    <w:pPr>
      <w:spacing w:after="0" w:line="240" w:lineRule="auto"/>
      <w:jc w:val="center"/>
    </w:pPr>
    <w:rPr>
      <w:rFonts w:eastAsia="Times New Roman"/>
      <w:color w:val="auto"/>
      <w:szCs w:val="20"/>
    </w:rPr>
  </w:style>
  <w:style w:type="paragraph" w:customStyle="1" w:styleId="Normal12nk">
    <w:name w:val="Normal + 12 nk"/>
    <w:aliases w:val="Kalın,Satır aralığı:  Çift + Kalın Değil,İki Yana Yasla,Sol:...,Satır aralığı:  Çift"/>
    <w:basedOn w:val="Normal"/>
    <w:link w:val="Normal12nkChar"/>
    <w:rsid w:val="007943A0"/>
    <w:pPr>
      <w:spacing w:after="0" w:line="480" w:lineRule="auto"/>
    </w:pPr>
    <w:rPr>
      <w:rFonts w:eastAsia="Times New Roman"/>
      <w:b/>
      <w:color w:val="auto"/>
    </w:rPr>
  </w:style>
  <w:style w:type="character" w:customStyle="1" w:styleId="Normal12nkChar">
    <w:name w:val="Normal + 12 nk Char"/>
    <w:aliases w:val="Kalın Char,Satır aralığı:  Çift + Kalın Değil Char,İki Yana Yasla Char,Sol:... Char,Satır aralığı:  Çift Char"/>
    <w:basedOn w:val="VarsaylanParagrafYazTipi"/>
    <w:link w:val="Normal12nk"/>
    <w:rsid w:val="007943A0"/>
    <w:rPr>
      <w:rFonts w:eastAsia="Times New Roman"/>
      <w:b/>
      <w:color w:val="auto"/>
    </w:rPr>
  </w:style>
  <w:style w:type="character" w:customStyle="1" w:styleId="apple-converted-space">
    <w:name w:val="apple-converted-space"/>
    <w:basedOn w:val="VarsaylanParagrafYazTipi"/>
    <w:rsid w:val="007943A0"/>
  </w:style>
  <w:style w:type="character" w:customStyle="1" w:styleId="BalonMetniChar1">
    <w:name w:val="Balon Metni Char1"/>
    <w:basedOn w:val="VarsaylanParagrafYazTipi"/>
    <w:uiPriority w:val="99"/>
    <w:semiHidden/>
    <w:rsid w:val="007943A0"/>
    <w:rPr>
      <w:rFonts w:ascii="Tahoma" w:hAnsi="Tahoma" w:cs="Tahoma"/>
      <w:sz w:val="16"/>
      <w:szCs w:val="16"/>
      <w:lang w:val="en-US"/>
    </w:rPr>
  </w:style>
  <w:style w:type="character" w:customStyle="1" w:styleId="A3">
    <w:name w:val="A3"/>
    <w:uiPriority w:val="99"/>
    <w:rsid w:val="007943A0"/>
    <w:rPr>
      <w:rFonts w:cs="Minion Pro"/>
      <w:color w:val="000000"/>
      <w:sz w:val="20"/>
      <w:szCs w:val="20"/>
    </w:rPr>
  </w:style>
  <w:style w:type="character" w:customStyle="1" w:styleId="author">
    <w:name w:val="author"/>
    <w:basedOn w:val="VarsaylanParagrafYazTipi"/>
    <w:rsid w:val="007943A0"/>
  </w:style>
  <w:style w:type="character" w:customStyle="1" w:styleId="pubyear">
    <w:name w:val="pubyear"/>
    <w:basedOn w:val="VarsaylanParagrafYazTipi"/>
    <w:rsid w:val="007943A0"/>
  </w:style>
  <w:style w:type="character" w:customStyle="1" w:styleId="chaptertitle">
    <w:name w:val="chaptertitle"/>
    <w:basedOn w:val="VarsaylanParagrafYazTipi"/>
    <w:rsid w:val="007943A0"/>
  </w:style>
  <w:style w:type="character" w:customStyle="1" w:styleId="booktitle">
    <w:name w:val="booktitle"/>
    <w:basedOn w:val="VarsaylanParagrafYazTipi"/>
    <w:rsid w:val="007943A0"/>
  </w:style>
  <w:style w:type="character" w:customStyle="1" w:styleId="edition">
    <w:name w:val="edition"/>
    <w:basedOn w:val="VarsaylanParagrafYazTipi"/>
    <w:rsid w:val="007943A0"/>
  </w:style>
  <w:style w:type="character" w:customStyle="1" w:styleId="publisherlocation">
    <w:name w:val="publisherlocation"/>
    <w:basedOn w:val="VarsaylanParagrafYazTipi"/>
    <w:rsid w:val="007943A0"/>
  </w:style>
  <w:style w:type="character" w:customStyle="1" w:styleId="pagefirst">
    <w:name w:val="pagefirst"/>
    <w:basedOn w:val="VarsaylanParagrafYazTipi"/>
    <w:rsid w:val="007943A0"/>
  </w:style>
  <w:style w:type="character" w:customStyle="1" w:styleId="pagelast">
    <w:name w:val="pagelast"/>
    <w:basedOn w:val="VarsaylanParagrafYazTipi"/>
    <w:rsid w:val="007943A0"/>
  </w:style>
  <w:style w:type="character" w:customStyle="1" w:styleId="hlfld-title">
    <w:name w:val="hlfld-title"/>
    <w:basedOn w:val="VarsaylanParagrafYazTipi"/>
    <w:rsid w:val="007943A0"/>
  </w:style>
  <w:style w:type="paragraph" w:customStyle="1" w:styleId="DecimalAligned">
    <w:name w:val="Decimal Aligned"/>
    <w:basedOn w:val="Normal"/>
    <w:uiPriority w:val="40"/>
    <w:qFormat/>
    <w:rsid w:val="007943A0"/>
    <w:pPr>
      <w:tabs>
        <w:tab w:val="decimal" w:pos="360"/>
      </w:tabs>
    </w:pPr>
    <w:rPr>
      <w:rFonts w:asciiTheme="minorHAnsi" w:hAnsiTheme="minorHAnsi"/>
      <w:color w:val="auto"/>
      <w:sz w:val="22"/>
      <w:szCs w:val="22"/>
    </w:rPr>
  </w:style>
  <w:style w:type="paragraph" w:styleId="DipnotMetni">
    <w:name w:val="footnote text"/>
    <w:basedOn w:val="Normal"/>
    <w:link w:val="DipnotMetniChar"/>
    <w:uiPriority w:val="99"/>
    <w:unhideWhenUsed/>
    <w:rsid w:val="007943A0"/>
    <w:pPr>
      <w:spacing w:after="0" w:line="240" w:lineRule="auto"/>
    </w:pPr>
    <w:rPr>
      <w:rFonts w:asciiTheme="minorHAnsi" w:hAnsiTheme="minorHAnsi"/>
      <w:color w:val="auto"/>
      <w:sz w:val="20"/>
      <w:szCs w:val="20"/>
    </w:rPr>
  </w:style>
  <w:style w:type="character" w:customStyle="1" w:styleId="DipnotMetniChar">
    <w:name w:val="Dipnot Metni Char"/>
    <w:basedOn w:val="VarsaylanParagrafYazTipi"/>
    <w:link w:val="DipnotMetni"/>
    <w:uiPriority w:val="99"/>
    <w:rsid w:val="007943A0"/>
    <w:rPr>
      <w:rFonts w:asciiTheme="minorHAnsi" w:hAnsiTheme="minorHAnsi"/>
      <w:color w:val="auto"/>
      <w:sz w:val="20"/>
      <w:szCs w:val="20"/>
    </w:rPr>
  </w:style>
  <w:style w:type="character" w:styleId="HafifVurgulama">
    <w:name w:val="Subtle Emphasis"/>
    <w:basedOn w:val="VarsaylanParagrafYazTipi"/>
    <w:uiPriority w:val="19"/>
    <w:qFormat/>
    <w:rsid w:val="007943A0"/>
    <w:rPr>
      <w:i/>
      <w:iCs/>
    </w:rPr>
  </w:style>
  <w:style w:type="character" w:styleId="HTMLCite">
    <w:name w:val="HTML Cite"/>
    <w:basedOn w:val="VarsaylanParagrafYazTipi"/>
    <w:uiPriority w:val="99"/>
    <w:semiHidden/>
    <w:unhideWhenUsed/>
    <w:rsid w:val="007943A0"/>
    <w:rPr>
      <w:i/>
      <w:iCs/>
    </w:rPr>
  </w:style>
  <w:style w:type="character" w:customStyle="1" w:styleId="shorttext">
    <w:name w:val="short_text"/>
    <w:basedOn w:val="VarsaylanParagrafYazTipi"/>
    <w:rsid w:val="007943A0"/>
  </w:style>
  <w:style w:type="table" w:styleId="AkGlgeleme">
    <w:name w:val="Light Shading"/>
    <w:basedOn w:val="NormalTablo"/>
    <w:uiPriority w:val="60"/>
    <w:rsid w:val="007943A0"/>
    <w:pPr>
      <w:spacing w:after="0" w:line="240" w:lineRule="auto"/>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7943A0"/>
    <w:pPr>
      <w:spacing w:after="0" w:line="240" w:lineRule="auto"/>
    </w:pPr>
    <w:rPr>
      <w:rFonts w:asciiTheme="minorHAnsi" w:eastAsiaTheme="minorHAnsi" w:hAnsiTheme="minorHAnsi" w:cstheme="minorBidi"/>
      <w:color w:val="365F91" w:themeColor="accent1" w:themeShade="BF"/>
      <w:sz w:val="22"/>
      <w:szCs w:val="22"/>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7943A0"/>
    <w:pPr>
      <w:spacing w:after="0" w:line="240" w:lineRule="auto"/>
    </w:pPr>
    <w:rPr>
      <w:rFonts w:asciiTheme="minorHAnsi" w:eastAsiaTheme="minorHAnsi" w:hAnsiTheme="minorHAnsi" w:cstheme="minorBidi"/>
      <w:color w:val="943634" w:themeColor="accent2" w:themeShade="BF"/>
      <w:sz w:val="22"/>
      <w:szCs w:val="22"/>
      <w:lang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Liste-Vurgu3">
    <w:name w:val="Light List Accent 3"/>
    <w:basedOn w:val="NormalTablo"/>
    <w:uiPriority w:val="61"/>
    <w:rsid w:val="007943A0"/>
    <w:pPr>
      <w:spacing w:after="0" w:line="240" w:lineRule="auto"/>
    </w:pPr>
    <w:rPr>
      <w:rFonts w:asciiTheme="minorHAnsi" w:eastAsiaTheme="minorHAnsi" w:hAnsiTheme="minorHAnsi" w:cstheme="minorBidi"/>
      <w:color w:val="auto"/>
      <w:sz w:val="22"/>
      <w:szCs w:val="22"/>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numbering" w:customStyle="1" w:styleId="ListeYok2">
    <w:name w:val="Liste Yok2"/>
    <w:next w:val="ListeYok"/>
    <w:uiPriority w:val="99"/>
    <w:semiHidden/>
    <w:unhideWhenUsed/>
    <w:rsid w:val="007943A0"/>
  </w:style>
  <w:style w:type="numbering" w:customStyle="1" w:styleId="ListeYok11">
    <w:name w:val="Liste Yok11"/>
    <w:next w:val="ListeYok"/>
    <w:uiPriority w:val="99"/>
    <w:semiHidden/>
    <w:unhideWhenUsed/>
    <w:rsid w:val="007943A0"/>
  </w:style>
  <w:style w:type="table" w:customStyle="1" w:styleId="TabloKlavuzu4">
    <w:name w:val="Tablo Kılavuzu4"/>
    <w:basedOn w:val="NormalTablo"/>
    <w:next w:val="TabloKlavuzu"/>
    <w:uiPriority w:val="59"/>
    <w:rsid w:val="007943A0"/>
    <w:pPr>
      <w:spacing w:after="0" w:line="240" w:lineRule="auto"/>
    </w:pPr>
    <w:rPr>
      <w:rFonts w:ascii="Calibri" w:eastAsia="Calibri" w:hAnsi="Calibri"/>
      <w:color w:val="auto"/>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zTablo211">
    <w:name w:val="Düz Tablo 211"/>
    <w:basedOn w:val="NormalTablo"/>
    <w:uiPriority w:val="42"/>
    <w:rsid w:val="007943A0"/>
    <w:pPr>
      <w:spacing w:after="0" w:line="240" w:lineRule="auto"/>
    </w:pPr>
    <w:rPr>
      <w:rFonts w:ascii="Calibri" w:eastAsia="Calibri" w:hAnsi="Calibri"/>
      <w:color w:val="auto"/>
      <w:sz w:val="22"/>
      <w:szCs w:val="22"/>
      <w:lang w:eastAsia="en-U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kGlgeleme1">
    <w:name w:val="Açık Gölgeleme1"/>
    <w:basedOn w:val="NormalTablo"/>
    <w:next w:val="AkGlgeleme"/>
    <w:uiPriority w:val="60"/>
    <w:rsid w:val="007943A0"/>
    <w:pPr>
      <w:spacing w:after="0" w:line="240" w:lineRule="auto"/>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kGlgeleme-Vurgu11">
    <w:name w:val="Açık Gölgeleme - Vurgu 11"/>
    <w:basedOn w:val="NormalTablo"/>
    <w:next w:val="AkGlgeleme-Vurgu1"/>
    <w:uiPriority w:val="60"/>
    <w:rsid w:val="007943A0"/>
    <w:pPr>
      <w:spacing w:after="0" w:line="240" w:lineRule="auto"/>
    </w:pPr>
    <w:rPr>
      <w:rFonts w:ascii="Calibri" w:eastAsia="Calibri" w:hAnsi="Calibri"/>
      <w:color w:val="2E74B5"/>
      <w:sz w:val="22"/>
      <w:szCs w:val="22"/>
      <w:lang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AkGlgeleme-Vurgu21">
    <w:name w:val="Açık Gölgeleme - Vurgu 21"/>
    <w:basedOn w:val="NormalTablo"/>
    <w:next w:val="AkGlgeleme-Vurgu2"/>
    <w:uiPriority w:val="60"/>
    <w:rsid w:val="007943A0"/>
    <w:pPr>
      <w:spacing w:after="0" w:line="240" w:lineRule="auto"/>
    </w:pPr>
    <w:rPr>
      <w:rFonts w:ascii="Calibri" w:eastAsia="Calibri" w:hAnsi="Calibri"/>
      <w:color w:val="C45911"/>
      <w:sz w:val="22"/>
      <w:szCs w:val="22"/>
      <w:lang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AkListe-Vurgu31">
    <w:name w:val="Açık Liste - Vurgu 31"/>
    <w:basedOn w:val="NormalTablo"/>
    <w:next w:val="AkListe-Vurgu3"/>
    <w:uiPriority w:val="61"/>
    <w:rsid w:val="007943A0"/>
    <w:pPr>
      <w:spacing w:after="0" w:line="240" w:lineRule="auto"/>
    </w:pPr>
    <w:rPr>
      <w:rFonts w:ascii="Calibri" w:eastAsia="Calibri" w:hAnsi="Calibri"/>
      <w:color w:val="auto"/>
      <w:sz w:val="22"/>
      <w:szCs w:val="22"/>
      <w:lang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813191">
      <w:bodyDiv w:val="1"/>
      <w:marLeft w:val="0"/>
      <w:marRight w:val="0"/>
      <w:marTop w:val="0"/>
      <w:marBottom w:val="0"/>
      <w:divBdr>
        <w:top w:val="none" w:sz="0" w:space="0" w:color="auto"/>
        <w:left w:val="none" w:sz="0" w:space="0" w:color="auto"/>
        <w:bottom w:val="none" w:sz="0" w:space="0" w:color="auto"/>
        <w:right w:val="none" w:sz="0" w:space="0" w:color="auto"/>
      </w:divBdr>
    </w:div>
    <w:div w:id="198784611">
      <w:bodyDiv w:val="1"/>
      <w:marLeft w:val="0"/>
      <w:marRight w:val="0"/>
      <w:marTop w:val="0"/>
      <w:marBottom w:val="0"/>
      <w:divBdr>
        <w:top w:val="none" w:sz="0" w:space="0" w:color="auto"/>
        <w:left w:val="none" w:sz="0" w:space="0" w:color="auto"/>
        <w:bottom w:val="none" w:sz="0" w:space="0" w:color="auto"/>
        <w:right w:val="none" w:sz="0" w:space="0" w:color="auto"/>
      </w:divBdr>
    </w:div>
    <w:div w:id="286860586">
      <w:bodyDiv w:val="1"/>
      <w:marLeft w:val="0"/>
      <w:marRight w:val="0"/>
      <w:marTop w:val="0"/>
      <w:marBottom w:val="0"/>
      <w:divBdr>
        <w:top w:val="none" w:sz="0" w:space="0" w:color="auto"/>
        <w:left w:val="none" w:sz="0" w:space="0" w:color="auto"/>
        <w:bottom w:val="none" w:sz="0" w:space="0" w:color="auto"/>
        <w:right w:val="none" w:sz="0" w:space="0" w:color="auto"/>
      </w:divBdr>
      <w:divsChild>
        <w:div w:id="265115861">
          <w:marLeft w:val="0"/>
          <w:marRight w:val="0"/>
          <w:marTop w:val="0"/>
          <w:marBottom w:val="0"/>
          <w:divBdr>
            <w:top w:val="none" w:sz="0" w:space="0" w:color="auto"/>
            <w:left w:val="none" w:sz="0" w:space="0" w:color="auto"/>
            <w:bottom w:val="none" w:sz="0" w:space="0" w:color="auto"/>
            <w:right w:val="none" w:sz="0" w:space="0" w:color="auto"/>
          </w:divBdr>
        </w:div>
        <w:div w:id="311570172">
          <w:marLeft w:val="0"/>
          <w:marRight w:val="0"/>
          <w:marTop w:val="0"/>
          <w:marBottom w:val="0"/>
          <w:divBdr>
            <w:top w:val="none" w:sz="0" w:space="0" w:color="auto"/>
            <w:left w:val="none" w:sz="0" w:space="0" w:color="auto"/>
            <w:bottom w:val="none" w:sz="0" w:space="0" w:color="auto"/>
            <w:right w:val="none" w:sz="0" w:space="0" w:color="auto"/>
          </w:divBdr>
        </w:div>
        <w:div w:id="352808923">
          <w:marLeft w:val="0"/>
          <w:marRight w:val="0"/>
          <w:marTop w:val="0"/>
          <w:marBottom w:val="0"/>
          <w:divBdr>
            <w:top w:val="none" w:sz="0" w:space="0" w:color="auto"/>
            <w:left w:val="none" w:sz="0" w:space="0" w:color="auto"/>
            <w:bottom w:val="none" w:sz="0" w:space="0" w:color="auto"/>
            <w:right w:val="none" w:sz="0" w:space="0" w:color="auto"/>
          </w:divBdr>
        </w:div>
        <w:div w:id="652221475">
          <w:marLeft w:val="0"/>
          <w:marRight w:val="0"/>
          <w:marTop w:val="0"/>
          <w:marBottom w:val="0"/>
          <w:divBdr>
            <w:top w:val="none" w:sz="0" w:space="0" w:color="auto"/>
            <w:left w:val="none" w:sz="0" w:space="0" w:color="auto"/>
            <w:bottom w:val="none" w:sz="0" w:space="0" w:color="auto"/>
            <w:right w:val="none" w:sz="0" w:space="0" w:color="auto"/>
          </w:divBdr>
        </w:div>
        <w:div w:id="959187518">
          <w:marLeft w:val="0"/>
          <w:marRight w:val="0"/>
          <w:marTop w:val="0"/>
          <w:marBottom w:val="0"/>
          <w:divBdr>
            <w:top w:val="none" w:sz="0" w:space="0" w:color="auto"/>
            <w:left w:val="none" w:sz="0" w:space="0" w:color="auto"/>
            <w:bottom w:val="none" w:sz="0" w:space="0" w:color="auto"/>
            <w:right w:val="none" w:sz="0" w:space="0" w:color="auto"/>
          </w:divBdr>
        </w:div>
        <w:div w:id="1030373069">
          <w:marLeft w:val="0"/>
          <w:marRight w:val="0"/>
          <w:marTop w:val="0"/>
          <w:marBottom w:val="0"/>
          <w:divBdr>
            <w:top w:val="none" w:sz="0" w:space="0" w:color="auto"/>
            <w:left w:val="none" w:sz="0" w:space="0" w:color="auto"/>
            <w:bottom w:val="none" w:sz="0" w:space="0" w:color="auto"/>
            <w:right w:val="none" w:sz="0" w:space="0" w:color="auto"/>
          </w:divBdr>
        </w:div>
        <w:div w:id="1058749189">
          <w:marLeft w:val="0"/>
          <w:marRight w:val="0"/>
          <w:marTop w:val="0"/>
          <w:marBottom w:val="0"/>
          <w:divBdr>
            <w:top w:val="none" w:sz="0" w:space="0" w:color="auto"/>
            <w:left w:val="none" w:sz="0" w:space="0" w:color="auto"/>
            <w:bottom w:val="none" w:sz="0" w:space="0" w:color="auto"/>
            <w:right w:val="none" w:sz="0" w:space="0" w:color="auto"/>
          </w:divBdr>
        </w:div>
        <w:div w:id="1113666390">
          <w:marLeft w:val="0"/>
          <w:marRight w:val="0"/>
          <w:marTop w:val="0"/>
          <w:marBottom w:val="0"/>
          <w:divBdr>
            <w:top w:val="none" w:sz="0" w:space="0" w:color="auto"/>
            <w:left w:val="none" w:sz="0" w:space="0" w:color="auto"/>
            <w:bottom w:val="none" w:sz="0" w:space="0" w:color="auto"/>
            <w:right w:val="none" w:sz="0" w:space="0" w:color="auto"/>
          </w:divBdr>
        </w:div>
        <w:div w:id="1408454968">
          <w:marLeft w:val="0"/>
          <w:marRight w:val="0"/>
          <w:marTop w:val="0"/>
          <w:marBottom w:val="0"/>
          <w:divBdr>
            <w:top w:val="none" w:sz="0" w:space="0" w:color="auto"/>
            <w:left w:val="none" w:sz="0" w:space="0" w:color="auto"/>
            <w:bottom w:val="none" w:sz="0" w:space="0" w:color="auto"/>
            <w:right w:val="none" w:sz="0" w:space="0" w:color="auto"/>
          </w:divBdr>
        </w:div>
        <w:div w:id="1624459280">
          <w:marLeft w:val="0"/>
          <w:marRight w:val="0"/>
          <w:marTop w:val="0"/>
          <w:marBottom w:val="0"/>
          <w:divBdr>
            <w:top w:val="none" w:sz="0" w:space="0" w:color="auto"/>
            <w:left w:val="none" w:sz="0" w:space="0" w:color="auto"/>
            <w:bottom w:val="none" w:sz="0" w:space="0" w:color="auto"/>
            <w:right w:val="none" w:sz="0" w:space="0" w:color="auto"/>
          </w:divBdr>
        </w:div>
        <w:div w:id="1750930264">
          <w:marLeft w:val="0"/>
          <w:marRight w:val="0"/>
          <w:marTop w:val="0"/>
          <w:marBottom w:val="0"/>
          <w:divBdr>
            <w:top w:val="none" w:sz="0" w:space="0" w:color="auto"/>
            <w:left w:val="none" w:sz="0" w:space="0" w:color="auto"/>
            <w:bottom w:val="none" w:sz="0" w:space="0" w:color="auto"/>
            <w:right w:val="none" w:sz="0" w:space="0" w:color="auto"/>
          </w:divBdr>
        </w:div>
        <w:div w:id="1819836258">
          <w:marLeft w:val="0"/>
          <w:marRight w:val="0"/>
          <w:marTop w:val="0"/>
          <w:marBottom w:val="0"/>
          <w:divBdr>
            <w:top w:val="none" w:sz="0" w:space="0" w:color="auto"/>
            <w:left w:val="none" w:sz="0" w:space="0" w:color="auto"/>
            <w:bottom w:val="none" w:sz="0" w:space="0" w:color="auto"/>
            <w:right w:val="none" w:sz="0" w:space="0" w:color="auto"/>
          </w:divBdr>
        </w:div>
        <w:div w:id="1827014880">
          <w:marLeft w:val="0"/>
          <w:marRight w:val="0"/>
          <w:marTop w:val="0"/>
          <w:marBottom w:val="0"/>
          <w:divBdr>
            <w:top w:val="none" w:sz="0" w:space="0" w:color="auto"/>
            <w:left w:val="none" w:sz="0" w:space="0" w:color="auto"/>
            <w:bottom w:val="none" w:sz="0" w:space="0" w:color="auto"/>
            <w:right w:val="none" w:sz="0" w:space="0" w:color="auto"/>
          </w:divBdr>
        </w:div>
        <w:div w:id="1899778545">
          <w:marLeft w:val="0"/>
          <w:marRight w:val="0"/>
          <w:marTop w:val="0"/>
          <w:marBottom w:val="0"/>
          <w:divBdr>
            <w:top w:val="none" w:sz="0" w:space="0" w:color="auto"/>
            <w:left w:val="none" w:sz="0" w:space="0" w:color="auto"/>
            <w:bottom w:val="none" w:sz="0" w:space="0" w:color="auto"/>
            <w:right w:val="none" w:sz="0" w:space="0" w:color="auto"/>
          </w:divBdr>
        </w:div>
        <w:div w:id="2020741744">
          <w:marLeft w:val="0"/>
          <w:marRight w:val="0"/>
          <w:marTop w:val="0"/>
          <w:marBottom w:val="0"/>
          <w:divBdr>
            <w:top w:val="none" w:sz="0" w:space="0" w:color="auto"/>
            <w:left w:val="none" w:sz="0" w:space="0" w:color="auto"/>
            <w:bottom w:val="none" w:sz="0" w:space="0" w:color="auto"/>
            <w:right w:val="none" w:sz="0" w:space="0" w:color="auto"/>
          </w:divBdr>
        </w:div>
        <w:div w:id="2032142940">
          <w:marLeft w:val="0"/>
          <w:marRight w:val="0"/>
          <w:marTop w:val="0"/>
          <w:marBottom w:val="0"/>
          <w:divBdr>
            <w:top w:val="none" w:sz="0" w:space="0" w:color="auto"/>
            <w:left w:val="none" w:sz="0" w:space="0" w:color="auto"/>
            <w:bottom w:val="none" w:sz="0" w:space="0" w:color="auto"/>
            <w:right w:val="none" w:sz="0" w:space="0" w:color="auto"/>
          </w:divBdr>
        </w:div>
      </w:divsChild>
    </w:div>
    <w:div w:id="290675559">
      <w:bodyDiv w:val="1"/>
      <w:marLeft w:val="0"/>
      <w:marRight w:val="0"/>
      <w:marTop w:val="0"/>
      <w:marBottom w:val="0"/>
      <w:divBdr>
        <w:top w:val="none" w:sz="0" w:space="0" w:color="auto"/>
        <w:left w:val="none" w:sz="0" w:space="0" w:color="auto"/>
        <w:bottom w:val="none" w:sz="0" w:space="0" w:color="auto"/>
        <w:right w:val="none" w:sz="0" w:space="0" w:color="auto"/>
      </w:divBdr>
    </w:div>
    <w:div w:id="371153090">
      <w:bodyDiv w:val="1"/>
      <w:marLeft w:val="0"/>
      <w:marRight w:val="0"/>
      <w:marTop w:val="0"/>
      <w:marBottom w:val="0"/>
      <w:divBdr>
        <w:top w:val="none" w:sz="0" w:space="0" w:color="auto"/>
        <w:left w:val="none" w:sz="0" w:space="0" w:color="auto"/>
        <w:bottom w:val="none" w:sz="0" w:space="0" w:color="auto"/>
        <w:right w:val="none" w:sz="0" w:space="0" w:color="auto"/>
      </w:divBdr>
    </w:div>
    <w:div w:id="402993516">
      <w:bodyDiv w:val="1"/>
      <w:marLeft w:val="0"/>
      <w:marRight w:val="0"/>
      <w:marTop w:val="0"/>
      <w:marBottom w:val="0"/>
      <w:divBdr>
        <w:top w:val="none" w:sz="0" w:space="0" w:color="auto"/>
        <w:left w:val="none" w:sz="0" w:space="0" w:color="auto"/>
        <w:bottom w:val="none" w:sz="0" w:space="0" w:color="auto"/>
        <w:right w:val="none" w:sz="0" w:space="0" w:color="auto"/>
      </w:divBdr>
    </w:div>
    <w:div w:id="457259771">
      <w:bodyDiv w:val="1"/>
      <w:marLeft w:val="0"/>
      <w:marRight w:val="0"/>
      <w:marTop w:val="0"/>
      <w:marBottom w:val="0"/>
      <w:divBdr>
        <w:top w:val="none" w:sz="0" w:space="0" w:color="auto"/>
        <w:left w:val="none" w:sz="0" w:space="0" w:color="auto"/>
        <w:bottom w:val="none" w:sz="0" w:space="0" w:color="auto"/>
        <w:right w:val="none" w:sz="0" w:space="0" w:color="auto"/>
      </w:divBdr>
    </w:div>
    <w:div w:id="593131903">
      <w:bodyDiv w:val="1"/>
      <w:marLeft w:val="0"/>
      <w:marRight w:val="0"/>
      <w:marTop w:val="0"/>
      <w:marBottom w:val="0"/>
      <w:divBdr>
        <w:top w:val="none" w:sz="0" w:space="0" w:color="auto"/>
        <w:left w:val="none" w:sz="0" w:space="0" w:color="auto"/>
        <w:bottom w:val="none" w:sz="0" w:space="0" w:color="auto"/>
        <w:right w:val="none" w:sz="0" w:space="0" w:color="auto"/>
      </w:divBdr>
    </w:div>
    <w:div w:id="630283701">
      <w:bodyDiv w:val="1"/>
      <w:marLeft w:val="0"/>
      <w:marRight w:val="0"/>
      <w:marTop w:val="0"/>
      <w:marBottom w:val="0"/>
      <w:divBdr>
        <w:top w:val="none" w:sz="0" w:space="0" w:color="auto"/>
        <w:left w:val="none" w:sz="0" w:space="0" w:color="auto"/>
        <w:bottom w:val="none" w:sz="0" w:space="0" w:color="auto"/>
        <w:right w:val="none" w:sz="0" w:space="0" w:color="auto"/>
      </w:divBdr>
    </w:div>
    <w:div w:id="631178588">
      <w:bodyDiv w:val="1"/>
      <w:marLeft w:val="0"/>
      <w:marRight w:val="0"/>
      <w:marTop w:val="0"/>
      <w:marBottom w:val="0"/>
      <w:divBdr>
        <w:top w:val="none" w:sz="0" w:space="0" w:color="auto"/>
        <w:left w:val="none" w:sz="0" w:space="0" w:color="auto"/>
        <w:bottom w:val="none" w:sz="0" w:space="0" w:color="auto"/>
        <w:right w:val="none" w:sz="0" w:space="0" w:color="auto"/>
      </w:divBdr>
    </w:div>
    <w:div w:id="641421735">
      <w:bodyDiv w:val="1"/>
      <w:marLeft w:val="0"/>
      <w:marRight w:val="0"/>
      <w:marTop w:val="0"/>
      <w:marBottom w:val="0"/>
      <w:divBdr>
        <w:top w:val="none" w:sz="0" w:space="0" w:color="auto"/>
        <w:left w:val="none" w:sz="0" w:space="0" w:color="auto"/>
        <w:bottom w:val="none" w:sz="0" w:space="0" w:color="auto"/>
        <w:right w:val="none" w:sz="0" w:space="0" w:color="auto"/>
      </w:divBdr>
    </w:div>
    <w:div w:id="661735524">
      <w:bodyDiv w:val="1"/>
      <w:marLeft w:val="0"/>
      <w:marRight w:val="0"/>
      <w:marTop w:val="0"/>
      <w:marBottom w:val="0"/>
      <w:divBdr>
        <w:top w:val="none" w:sz="0" w:space="0" w:color="auto"/>
        <w:left w:val="none" w:sz="0" w:space="0" w:color="auto"/>
        <w:bottom w:val="none" w:sz="0" w:space="0" w:color="auto"/>
        <w:right w:val="none" w:sz="0" w:space="0" w:color="auto"/>
      </w:divBdr>
    </w:div>
    <w:div w:id="779110874">
      <w:bodyDiv w:val="1"/>
      <w:marLeft w:val="0"/>
      <w:marRight w:val="0"/>
      <w:marTop w:val="0"/>
      <w:marBottom w:val="0"/>
      <w:divBdr>
        <w:top w:val="none" w:sz="0" w:space="0" w:color="auto"/>
        <w:left w:val="none" w:sz="0" w:space="0" w:color="auto"/>
        <w:bottom w:val="none" w:sz="0" w:space="0" w:color="auto"/>
        <w:right w:val="none" w:sz="0" w:space="0" w:color="auto"/>
      </w:divBdr>
    </w:div>
    <w:div w:id="1031418241">
      <w:bodyDiv w:val="1"/>
      <w:marLeft w:val="0"/>
      <w:marRight w:val="0"/>
      <w:marTop w:val="0"/>
      <w:marBottom w:val="0"/>
      <w:divBdr>
        <w:top w:val="none" w:sz="0" w:space="0" w:color="auto"/>
        <w:left w:val="none" w:sz="0" w:space="0" w:color="auto"/>
        <w:bottom w:val="none" w:sz="0" w:space="0" w:color="auto"/>
        <w:right w:val="none" w:sz="0" w:space="0" w:color="auto"/>
      </w:divBdr>
    </w:div>
    <w:div w:id="1073160312">
      <w:bodyDiv w:val="1"/>
      <w:marLeft w:val="0"/>
      <w:marRight w:val="0"/>
      <w:marTop w:val="0"/>
      <w:marBottom w:val="0"/>
      <w:divBdr>
        <w:top w:val="none" w:sz="0" w:space="0" w:color="auto"/>
        <w:left w:val="none" w:sz="0" w:space="0" w:color="auto"/>
        <w:bottom w:val="none" w:sz="0" w:space="0" w:color="auto"/>
        <w:right w:val="none" w:sz="0" w:space="0" w:color="auto"/>
      </w:divBdr>
    </w:div>
    <w:div w:id="1135103591">
      <w:bodyDiv w:val="1"/>
      <w:marLeft w:val="0"/>
      <w:marRight w:val="0"/>
      <w:marTop w:val="0"/>
      <w:marBottom w:val="0"/>
      <w:divBdr>
        <w:top w:val="none" w:sz="0" w:space="0" w:color="auto"/>
        <w:left w:val="none" w:sz="0" w:space="0" w:color="auto"/>
        <w:bottom w:val="none" w:sz="0" w:space="0" w:color="auto"/>
        <w:right w:val="none" w:sz="0" w:space="0" w:color="auto"/>
      </w:divBdr>
    </w:div>
    <w:div w:id="1165047929">
      <w:bodyDiv w:val="1"/>
      <w:marLeft w:val="0"/>
      <w:marRight w:val="0"/>
      <w:marTop w:val="0"/>
      <w:marBottom w:val="0"/>
      <w:divBdr>
        <w:top w:val="none" w:sz="0" w:space="0" w:color="auto"/>
        <w:left w:val="none" w:sz="0" w:space="0" w:color="auto"/>
        <w:bottom w:val="none" w:sz="0" w:space="0" w:color="auto"/>
        <w:right w:val="none" w:sz="0" w:space="0" w:color="auto"/>
      </w:divBdr>
    </w:div>
    <w:div w:id="1276517380">
      <w:bodyDiv w:val="1"/>
      <w:marLeft w:val="0"/>
      <w:marRight w:val="0"/>
      <w:marTop w:val="0"/>
      <w:marBottom w:val="0"/>
      <w:divBdr>
        <w:top w:val="none" w:sz="0" w:space="0" w:color="auto"/>
        <w:left w:val="none" w:sz="0" w:space="0" w:color="auto"/>
        <w:bottom w:val="none" w:sz="0" w:space="0" w:color="auto"/>
        <w:right w:val="none" w:sz="0" w:space="0" w:color="auto"/>
      </w:divBdr>
    </w:div>
    <w:div w:id="1412236514">
      <w:bodyDiv w:val="1"/>
      <w:marLeft w:val="0"/>
      <w:marRight w:val="0"/>
      <w:marTop w:val="0"/>
      <w:marBottom w:val="0"/>
      <w:divBdr>
        <w:top w:val="none" w:sz="0" w:space="0" w:color="auto"/>
        <w:left w:val="none" w:sz="0" w:space="0" w:color="auto"/>
        <w:bottom w:val="none" w:sz="0" w:space="0" w:color="auto"/>
        <w:right w:val="none" w:sz="0" w:space="0" w:color="auto"/>
      </w:divBdr>
      <w:divsChild>
        <w:div w:id="9451110">
          <w:marLeft w:val="0"/>
          <w:marRight w:val="0"/>
          <w:marTop w:val="0"/>
          <w:marBottom w:val="0"/>
          <w:divBdr>
            <w:top w:val="none" w:sz="0" w:space="0" w:color="auto"/>
            <w:left w:val="none" w:sz="0" w:space="0" w:color="auto"/>
            <w:bottom w:val="none" w:sz="0" w:space="0" w:color="auto"/>
            <w:right w:val="none" w:sz="0" w:space="0" w:color="auto"/>
          </w:divBdr>
        </w:div>
        <w:div w:id="58552763">
          <w:marLeft w:val="0"/>
          <w:marRight w:val="0"/>
          <w:marTop w:val="0"/>
          <w:marBottom w:val="0"/>
          <w:divBdr>
            <w:top w:val="none" w:sz="0" w:space="0" w:color="auto"/>
            <w:left w:val="none" w:sz="0" w:space="0" w:color="auto"/>
            <w:bottom w:val="none" w:sz="0" w:space="0" w:color="auto"/>
            <w:right w:val="none" w:sz="0" w:space="0" w:color="auto"/>
          </w:divBdr>
        </w:div>
        <w:div w:id="60831437">
          <w:marLeft w:val="0"/>
          <w:marRight w:val="0"/>
          <w:marTop w:val="0"/>
          <w:marBottom w:val="0"/>
          <w:divBdr>
            <w:top w:val="none" w:sz="0" w:space="0" w:color="auto"/>
            <w:left w:val="none" w:sz="0" w:space="0" w:color="auto"/>
            <w:bottom w:val="none" w:sz="0" w:space="0" w:color="auto"/>
            <w:right w:val="none" w:sz="0" w:space="0" w:color="auto"/>
          </w:divBdr>
        </w:div>
        <w:div w:id="74212820">
          <w:marLeft w:val="0"/>
          <w:marRight w:val="0"/>
          <w:marTop w:val="0"/>
          <w:marBottom w:val="0"/>
          <w:divBdr>
            <w:top w:val="none" w:sz="0" w:space="0" w:color="auto"/>
            <w:left w:val="none" w:sz="0" w:space="0" w:color="auto"/>
            <w:bottom w:val="none" w:sz="0" w:space="0" w:color="auto"/>
            <w:right w:val="none" w:sz="0" w:space="0" w:color="auto"/>
          </w:divBdr>
        </w:div>
        <w:div w:id="98255594">
          <w:marLeft w:val="0"/>
          <w:marRight w:val="0"/>
          <w:marTop w:val="0"/>
          <w:marBottom w:val="0"/>
          <w:divBdr>
            <w:top w:val="none" w:sz="0" w:space="0" w:color="auto"/>
            <w:left w:val="none" w:sz="0" w:space="0" w:color="auto"/>
            <w:bottom w:val="none" w:sz="0" w:space="0" w:color="auto"/>
            <w:right w:val="none" w:sz="0" w:space="0" w:color="auto"/>
          </w:divBdr>
        </w:div>
        <w:div w:id="100993835">
          <w:marLeft w:val="0"/>
          <w:marRight w:val="0"/>
          <w:marTop w:val="0"/>
          <w:marBottom w:val="0"/>
          <w:divBdr>
            <w:top w:val="none" w:sz="0" w:space="0" w:color="auto"/>
            <w:left w:val="none" w:sz="0" w:space="0" w:color="auto"/>
            <w:bottom w:val="none" w:sz="0" w:space="0" w:color="auto"/>
            <w:right w:val="none" w:sz="0" w:space="0" w:color="auto"/>
          </w:divBdr>
        </w:div>
        <w:div w:id="193228400">
          <w:marLeft w:val="0"/>
          <w:marRight w:val="0"/>
          <w:marTop w:val="0"/>
          <w:marBottom w:val="0"/>
          <w:divBdr>
            <w:top w:val="none" w:sz="0" w:space="0" w:color="auto"/>
            <w:left w:val="none" w:sz="0" w:space="0" w:color="auto"/>
            <w:bottom w:val="none" w:sz="0" w:space="0" w:color="auto"/>
            <w:right w:val="none" w:sz="0" w:space="0" w:color="auto"/>
          </w:divBdr>
        </w:div>
        <w:div w:id="200441478">
          <w:marLeft w:val="0"/>
          <w:marRight w:val="0"/>
          <w:marTop w:val="0"/>
          <w:marBottom w:val="0"/>
          <w:divBdr>
            <w:top w:val="none" w:sz="0" w:space="0" w:color="auto"/>
            <w:left w:val="none" w:sz="0" w:space="0" w:color="auto"/>
            <w:bottom w:val="none" w:sz="0" w:space="0" w:color="auto"/>
            <w:right w:val="none" w:sz="0" w:space="0" w:color="auto"/>
          </w:divBdr>
        </w:div>
        <w:div w:id="211625978">
          <w:marLeft w:val="0"/>
          <w:marRight w:val="0"/>
          <w:marTop w:val="0"/>
          <w:marBottom w:val="0"/>
          <w:divBdr>
            <w:top w:val="none" w:sz="0" w:space="0" w:color="auto"/>
            <w:left w:val="none" w:sz="0" w:space="0" w:color="auto"/>
            <w:bottom w:val="none" w:sz="0" w:space="0" w:color="auto"/>
            <w:right w:val="none" w:sz="0" w:space="0" w:color="auto"/>
          </w:divBdr>
        </w:div>
        <w:div w:id="214707381">
          <w:marLeft w:val="0"/>
          <w:marRight w:val="0"/>
          <w:marTop w:val="0"/>
          <w:marBottom w:val="0"/>
          <w:divBdr>
            <w:top w:val="none" w:sz="0" w:space="0" w:color="auto"/>
            <w:left w:val="none" w:sz="0" w:space="0" w:color="auto"/>
            <w:bottom w:val="none" w:sz="0" w:space="0" w:color="auto"/>
            <w:right w:val="none" w:sz="0" w:space="0" w:color="auto"/>
          </w:divBdr>
        </w:div>
        <w:div w:id="234825114">
          <w:marLeft w:val="0"/>
          <w:marRight w:val="0"/>
          <w:marTop w:val="0"/>
          <w:marBottom w:val="0"/>
          <w:divBdr>
            <w:top w:val="none" w:sz="0" w:space="0" w:color="auto"/>
            <w:left w:val="none" w:sz="0" w:space="0" w:color="auto"/>
            <w:bottom w:val="none" w:sz="0" w:space="0" w:color="auto"/>
            <w:right w:val="none" w:sz="0" w:space="0" w:color="auto"/>
          </w:divBdr>
        </w:div>
        <w:div w:id="243615409">
          <w:marLeft w:val="0"/>
          <w:marRight w:val="0"/>
          <w:marTop w:val="0"/>
          <w:marBottom w:val="0"/>
          <w:divBdr>
            <w:top w:val="none" w:sz="0" w:space="0" w:color="auto"/>
            <w:left w:val="none" w:sz="0" w:space="0" w:color="auto"/>
            <w:bottom w:val="none" w:sz="0" w:space="0" w:color="auto"/>
            <w:right w:val="none" w:sz="0" w:space="0" w:color="auto"/>
          </w:divBdr>
        </w:div>
        <w:div w:id="245458887">
          <w:marLeft w:val="0"/>
          <w:marRight w:val="0"/>
          <w:marTop w:val="0"/>
          <w:marBottom w:val="0"/>
          <w:divBdr>
            <w:top w:val="none" w:sz="0" w:space="0" w:color="auto"/>
            <w:left w:val="none" w:sz="0" w:space="0" w:color="auto"/>
            <w:bottom w:val="none" w:sz="0" w:space="0" w:color="auto"/>
            <w:right w:val="none" w:sz="0" w:space="0" w:color="auto"/>
          </w:divBdr>
        </w:div>
        <w:div w:id="250090246">
          <w:marLeft w:val="0"/>
          <w:marRight w:val="0"/>
          <w:marTop w:val="0"/>
          <w:marBottom w:val="0"/>
          <w:divBdr>
            <w:top w:val="none" w:sz="0" w:space="0" w:color="auto"/>
            <w:left w:val="none" w:sz="0" w:space="0" w:color="auto"/>
            <w:bottom w:val="none" w:sz="0" w:space="0" w:color="auto"/>
            <w:right w:val="none" w:sz="0" w:space="0" w:color="auto"/>
          </w:divBdr>
        </w:div>
        <w:div w:id="251282180">
          <w:marLeft w:val="0"/>
          <w:marRight w:val="0"/>
          <w:marTop w:val="0"/>
          <w:marBottom w:val="0"/>
          <w:divBdr>
            <w:top w:val="none" w:sz="0" w:space="0" w:color="auto"/>
            <w:left w:val="none" w:sz="0" w:space="0" w:color="auto"/>
            <w:bottom w:val="none" w:sz="0" w:space="0" w:color="auto"/>
            <w:right w:val="none" w:sz="0" w:space="0" w:color="auto"/>
          </w:divBdr>
        </w:div>
        <w:div w:id="283199926">
          <w:marLeft w:val="0"/>
          <w:marRight w:val="0"/>
          <w:marTop w:val="0"/>
          <w:marBottom w:val="0"/>
          <w:divBdr>
            <w:top w:val="none" w:sz="0" w:space="0" w:color="auto"/>
            <w:left w:val="none" w:sz="0" w:space="0" w:color="auto"/>
            <w:bottom w:val="none" w:sz="0" w:space="0" w:color="auto"/>
            <w:right w:val="none" w:sz="0" w:space="0" w:color="auto"/>
          </w:divBdr>
        </w:div>
        <w:div w:id="363293530">
          <w:marLeft w:val="0"/>
          <w:marRight w:val="0"/>
          <w:marTop w:val="0"/>
          <w:marBottom w:val="0"/>
          <w:divBdr>
            <w:top w:val="none" w:sz="0" w:space="0" w:color="auto"/>
            <w:left w:val="none" w:sz="0" w:space="0" w:color="auto"/>
            <w:bottom w:val="none" w:sz="0" w:space="0" w:color="auto"/>
            <w:right w:val="none" w:sz="0" w:space="0" w:color="auto"/>
          </w:divBdr>
        </w:div>
        <w:div w:id="382409701">
          <w:marLeft w:val="0"/>
          <w:marRight w:val="0"/>
          <w:marTop w:val="0"/>
          <w:marBottom w:val="0"/>
          <w:divBdr>
            <w:top w:val="none" w:sz="0" w:space="0" w:color="auto"/>
            <w:left w:val="none" w:sz="0" w:space="0" w:color="auto"/>
            <w:bottom w:val="none" w:sz="0" w:space="0" w:color="auto"/>
            <w:right w:val="none" w:sz="0" w:space="0" w:color="auto"/>
          </w:divBdr>
        </w:div>
        <w:div w:id="441000426">
          <w:marLeft w:val="0"/>
          <w:marRight w:val="0"/>
          <w:marTop w:val="0"/>
          <w:marBottom w:val="0"/>
          <w:divBdr>
            <w:top w:val="none" w:sz="0" w:space="0" w:color="auto"/>
            <w:left w:val="none" w:sz="0" w:space="0" w:color="auto"/>
            <w:bottom w:val="none" w:sz="0" w:space="0" w:color="auto"/>
            <w:right w:val="none" w:sz="0" w:space="0" w:color="auto"/>
          </w:divBdr>
        </w:div>
        <w:div w:id="519898994">
          <w:marLeft w:val="0"/>
          <w:marRight w:val="0"/>
          <w:marTop w:val="0"/>
          <w:marBottom w:val="0"/>
          <w:divBdr>
            <w:top w:val="none" w:sz="0" w:space="0" w:color="auto"/>
            <w:left w:val="none" w:sz="0" w:space="0" w:color="auto"/>
            <w:bottom w:val="none" w:sz="0" w:space="0" w:color="auto"/>
            <w:right w:val="none" w:sz="0" w:space="0" w:color="auto"/>
          </w:divBdr>
        </w:div>
        <w:div w:id="520706869">
          <w:marLeft w:val="0"/>
          <w:marRight w:val="0"/>
          <w:marTop w:val="0"/>
          <w:marBottom w:val="0"/>
          <w:divBdr>
            <w:top w:val="none" w:sz="0" w:space="0" w:color="auto"/>
            <w:left w:val="none" w:sz="0" w:space="0" w:color="auto"/>
            <w:bottom w:val="none" w:sz="0" w:space="0" w:color="auto"/>
            <w:right w:val="none" w:sz="0" w:space="0" w:color="auto"/>
          </w:divBdr>
        </w:div>
        <w:div w:id="520899702">
          <w:marLeft w:val="0"/>
          <w:marRight w:val="0"/>
          <w:marTop w:val="0"/>
          <w:marBottom w:val="0"/>
          <w:divBdr>
            <w:top w:val="none" w:sz="0" w:space="0" w:color="auto"/>
            <w:left w:val="none" w:sz="0" w:space="0" w:color="auto"/>
            <w:bottom w:val="none" w:sz="0" w:space="0" w:color="auto"/>
            <w:right w:val="none" w:sz="0" w:space="0" w:color="auto"/>
          </w:divBdr>
        </w:div>
        <w:div w:id="571038538">
          <w:marLeft w:val="0"/>
          <w:marRight w:val="0"/>
          <w:marTop w:val="0"/>
          <w:marBottom w:val="0"/>
          <w:divBdr>
            <w:top w:val="none" w:sz="0" w:space="0" w:color="auto"/>
            <w:left w:val="none" w:sz="0" w:space="0" w:color="auto"/>
            <w:bottom w:val="none" w:sz="0" w:space="0" w:color="auto"/>
            <w:right w:val="none" w:sz="0" w:space="0" w:color="auto"/>
          </w:divBdr>
        </w:div>
        <w:div w:id="573973495">
          <w:marLeft w:val="0"/>
          <w:marRight w:val="0"/>
          <w:marTop w:val="0"/>
          <w:marBottom w:val="0"/>
          <w:divBdr>
            <w:top w:val="none" w:sz="0" w:space="0" w:color="auto"/>
            <w:left w:val="none" w:sz="0" w:space="0" w:color="auto"/>
            <w:bottom w:val="none" w:sz="0" w:space="0" w:color="auto"/>
            <w:right w:val="none" w:sz="0" w:space="0" w:color="auto"/>
          </w:divBdr>
        </w:div>
        <w:div w:id="586813325">
          <w:marLeft w:val="0"/>
          <w:marRight w:val="0"/>
          <w:marTop w:val="0"/>
          <w:marBottom w:val="0"/>
          <w:divBdr>
            <w:top w:val="none" w:sz="0" w:space="0" w:color="auto"/>
            <w:left w:val="none" w:sz="0" w:space="0" w:color="auto"/>
            <w:bottom w:val="none" w:sz="0" w:space="0" w:color="auto"/>
            <w:right w:val="none" w:sz="0" w:space="0" w:color="auto"/>
          </w:divBdr>
        </w:div>
        <w:div w:id="609239331">
          <w:marLeft w:val="0"/>
          <w:marRight w:val="0"/>
          <w:marTop w:val="0"/>
          <w:marBottom w:val="0"/>
          <w:divBdr>
            <w:top w:val="none" w:sz="0" w:space="0" w:color="auto"/>
            <w:left w:val="none" w:sz="0" w:space="0" w:color="auto"/>
            <w:bottom w:val="none" w:sz="0" w:space="0" w:color="auto"/>
            <w:right w:val="none" w:sz="0" w:space="0" w:color="auto"/>
          </w:divBdr>
        </w:div>
        <w:div w:id="627591134">
          <w:marLeft w:val="0"/>
          <w:marRight w:val="0"/>
          <w:marTop w:val="0"/>
          <w:marBottom w:val="0"/>
          <w:divBdr>
            <w:top w:val="none" w:sz="0" w:space="0" w:color="auto"/>
            <w:left w:val="none" w:sz="0" w:space="0" w:color="auto"/>
            <w:bottom w:val="none" w:sz="0" w:space="0" w:color="auto"/>
            <w:right w:val="none" w:sz="0" w:space="0" w:color="auto"/>
          </w:divBdr>
        </w:div>
        <w:div w:id="657610150">
          <w:marLeft w:val="0"/>
          <w:marRight w:val="0"/>
          <w:marTop w:val="0"/>
          <w:marBottom w:val="0"/>
          <w:divBdr>
            <w:top w:val="none" w:sz="0" w:space="0" w:color="auto"/>
            <w:left w:val="none" w:sz="0" w:space="0" w:color="auto"/>
            <w:bottom w:val="none" w:sz="0" w:space="0" w:color="auto"/>
            <w:right w:val="none" w:sz="0" w:space="0" w:color="auto"/>
          </w:divBdr>
        </w:div>
        <w:div w:id="684598724">
          <w:marLeft w:val="0"/>
          <w:marRight w:val="0"/>
          <w:marTop w:val="0"/>
          <w:marBottom w:val="0"/>
          <w:divBdr>
            <w:top w:val="none" w:sz="0" w:space="0" w:color="auto"/>
            <w:left w:val="none" w:sz="0" w:space="0" w:color="auto"/>
            <w:bottom w:val="none" w:sz="0" w:space="0" w:color="auto"/>
            <w:right w:val="none" w:sz="0" w:space="0" w:color="auto"/>
          </w:divBdr>
        </w:div>
        <w:div w:id="691688664">
          <w:marLeft w:val="0"/>
          <w:marRight w:val="0"/>
          <w:marTop w:val="0"/>
          <w:marBottom w:val="0"/>
          <w:divBdr>
            <w:top w:val="none" w:sz="0" w:space="0" w:color="auto"/>
            <w:left w:val="none" w:sz="0" w:space="0" w:color="auto"/>
            <w:bottom w:val="none" w:sz="0" w:space="0" w:color="auto"/>
            <w:right w:val="none" w:sz="0" w:space="0" w:color="auto"/>
          </w:divBdr>
        </w:div>
        <w:div w:id="699167425">
          <w:marLeft w:val="0"/>
          <w:marRight w:val="0"/>
          <w:marTop w:val="0"/>
          <w:marBottom w:val="0"/>
          <w:divBdr>
            <w:top w:val="none" w:sz="0" w:space="0" w:color="auto"/>
            <w:left w:val="none" w:sz="0" w:space="0" w:color="auto"/>
            <w:bottom w:val="none" w:sz="0" w:space="0" w:color="auto"/>
            <w:right w:val="none" w:sz="0" w:space="0" w:color="auto"/>
          </w:divBdr>
        </w:div>
        <w:div w:id="699740851">
          <w:marLeft w:val="0"/>
          <w:marRight w:val="0"/>
          <w:marTop w:val="0"/>
          <w:marBottom w:val="0"/>
          <w:divBdr>
            <w:top w:val="none" w:sz="0" w:space="0" w:color="auto"/>
            <w:left w:val="none" w:sz="0" w:space="0" w:color="auto"/>
            <w:bottom w:val="none" w:sz="0" w:space="0" w:color="auto"/>
            <w:right w:val="none" w:sz="0" w:space="0" w:color="auto"/>
          </w:divBdr>
        </w:div>
        <w:div w:id="706292653">
          <w:marLeft w:val="0"/>
          <w:marRight w:val="0"/>
          <w:marTop w:val="0"/>
          <w:marBottom w:val="0"/>
          <w:divBdr>
            <w:top w:val="none" w:sz="0" w:space="0" w:color="auto"/>
            <w:left w:val="none" w:sz="0" w:space="0" w:color="auto"/>
            <w:bottom w:val="none" w:sz="0" w:space="0" w:color="auto"/>
            <w:right w:val="none" w:sz="0" w:space="0" w:color="auto"/>
          </w:divBdr>
        </w:div>
        <w:div w:id="723800275">
          <w:marLeft w:val="0"/>
          <w:marRight w:val="0"/>
          <w:marTop w:val="0"/>
          <w:marBottom w:val="0"/>
          <w:divBdr>
            <w:top w:val="none" w:sz="0" w:space="0" w:color="auto"/>
            <w:left w:val="none" w:sz="0" w:space="0" w:color="auto"/>
            <w:bottom w:val="none" w:sz="0" w:space="0" w:color="auto"/>
            <w:right w:val="none" w:sz="0" w:space="0" w:color="auto"/>
          </w:divBdr>
        </w:div>
        <w:div w:id="747925135">
          <w:marLeft w:val="0"/>
          <w:marRight w:val="0"/>
          <w:marTop w:val="0"/>
          <w:marBottom w:val="0"/>
          <w:divBdr>
            <w:top w:val="none" w:sz="0" w:space="0" w:color="auto"/>
            <w:left w:val="none" w:sz="0" w:space="0" w:color="auto"/>
            <w:bottom w:val="none" w:sz="0" w:space="0" w:color="auto"/>
            <w:right w:val="none" w:sz="0" w:space="0" w:color="auto"/>
          </w:divBdr>
        </w:div>
        <w:div w:id="770660913">
          <w:marLeft w:val="0"/>
          <w:marRight w:val="0"/>
          <w:marTop w:val="0"/>
          <w:marBottom w:val="0"/>
          <w:divBdr>
            <w:top w:val="none" w:sz="0" w:space="0" w:color="auto"/>
            <w:left w:val="none" w:sz="0" w:space="0" w:color="auto"/>
            <w:bottom w:val="none" w:sz="0" w:space="0" w:color="auto"/>
            <w:right w:val="none" w:sz="0" w:space="0" w:color="auto"/>
          </w:divBdr>
        </w:div>
        <w:div w:id="776171568">
          <w:marLeft w:val="0"/>
          <w:marRight w:val="0"/>
          <w:marTop w:val="0"/>
          <w:marBottom w:val="0"/>
          <w:divBdr>
            <w:top w:val="none" w:sz="0" w:space="0" w:color="auto"/>
            <w:left w:val="none" w:sz="0" w:space="0" w:color="auto"/>
            <w:bottom w:val="none" w:sz="0" w:space="0" w:color="auto"/>
            <w:right w:val="none" w:sz="0" w:space="0" w:color="auto"/>
          </w:divBdr>
        </w:div>
        <w:div w:id="786503986">
          <w:marLeft w:val="0"/>
          <w:marRight w:val="0"/>
          <w:marTop w:val="0"/>
          <w:marBottom w:val="0"/>
          <w:divBdr>
            <w:top w:val="none" w:sz="0" w:space="0" w:color="auto"/>
            <w:left w:val="none" w:sz="0" w:space="0" w:color="auto"/>
            <w:bottom w:val="none" w:sz="0" w:space="0" w:color="auto"/>
            <w:right w:val="none" w:sz="0" w:space="0" w:color="auto"/>
          </w:divBdr>
        </w:div>
        <w:div w:id="791896419">
          <w:marLeft w:val="0"/>
          <w:marRight w:val="0"/>
          <w:marTop w:val="0"/>
          <w:marBottom w:val="0"/>
          <w:divBdr>
            <w:top w:val="none" w:sz="0" w:space="0" w:color="auto"/>
            <w:left w:val="none" w:sz="0" w:space="0" w:color="auto"/>
            <w:bottom w:val="none" w:sz="0" w:space="0" w:color="auto"/>
            <w:right w:val="none" w:sz="0" w:space="0" w:color="auto"/>
          </w:divBdr>
        </w:div>
        <w:div w:id="792678632">
          <w:marLeft w:val="0"/>
          <w:marRight w:val="0"/>
          <w:marTop w:val="0"/>
          <w:marBottom w:val="0"/>
          <w:divBdr>
            <w:top w:val="none" w:sz="0" w:space="0" w:color="auto"/>
            <w:left w:val="none" w:sz="0" w:space="0" w:color="auto"/>
            <w:bottom w:val="none" w:sz="0" w:space="0" w:color="auto"/>
            <w:right w:val="none" w:sz="0" w:space="0" w:color="auto"/>
          </w:divBdr>
        </w:div>
        <w:div w:id="852114161">
          <w:marLeft w:val="0"/>
          <w:marRight w:val="0"/>
          <w:marTop w:val="0"/>
          <w:marBottom w:val="0"/>
          <w:divBdr>
            <w:top w:val="none" w:sz="0" w:space="0" w:color="auto"/>
            <w:left w:val="none" w:sz="0" w:space="0" w:color="auto"/>
            <w:bottom w:val="none" w:sz="0" w:space="0" w:color="auto"/>
            <w:right w:val="none" w:sz="0" w:space="0" w:color="auto"/>
          </w:divBdr>
        </w:div>
        <w:div w:id="881132762">
          <w:marLeft w:val="0"/>
          <w:marRight w:val="0"/>
          <w:marTop w:val="0"/>
          <w:marBottom w:val="0"/>
          <w:divBdr>
            <w:top w:val="none" w:sz="0" w:space="0" w:color="auto"/>
            <w:left w:val="none" w:sz="0" w:space="0" w:color="auto"/>
            <w:bottom w:val="none" w:sz="0" w:space="0" w:color="auto"/>
            <w:right w:val="none" w:sz="0" w:space="0" w:color="auto"/>
          </w:divBdr>
        </w:div>
        <w:div w:id="883829833">
          <w:marLeft w:val="0"/>
          <w:marRight w:val="0"/>
          <w:marTop w:val="0"/>
          <w:marBottom w:val="0"/>
          <w:divBdr>
            <w:top w:val="none" w:sz="0" w:space="0" w:color="auto"/>
            <w:left w:val="none" w:sz="0" w:space="0" w:color="auto"/>
            <w:bottom w:val="none" w:sz="0" w:space="0" w:color="auto"/>
            <w:right w:val="none" w:sz="0" w:space="0" w:color="auto"/>
          </w:divBdr>
        </w:div>
        <w:div w:id="886650219">
          <w:marLeft w:val="0"/>
          <w:marRight w:val="0"/>
          <w:marTop w:val="0"/>
          <w:marBottom w:val="0"/>
          <w:divBdr>
            <w:top w:val="none" w:sz="0" w:space="0" w:color="auto"/>
            <w:left w:val="none" w:sz="0" w:space="0" w:color="auto"/>
            <w:bottom w:val="none" w:sz="0" w:space="0" w:color="auto"/>
            <w:right w:val="none" w:sz="0" w:space="0" w:color="auto"/>
          </w:divBdr>
        </w:div>
        <w:div w:id="906914710">
          <w:marLeft w:val="0"/>
          <w:marRight w:val="0"/>
          <w:marTop w:val="0"/>
          <w:marBottom w:val="0"/>
          <w:divBdr>
            <w:top w:val="none" w:sz="0" w:space="0" w:color="auto"/>
            <w:left w:val="none" w:sz="0" w:space="0" w:color="auto"/>
            <w:bottom w:val="none" w:sz="0" w:space="0" w:color="auto"/>
            <w:right w:val="none" w:sz="0" w:space="0" w:color="auto"/>
          </w:divBdr>
        </w:div>
        <w:div w:id="915825170">
          <w:marLeft w:val="0"/>
          <w:marRight w:val="0"/>
          <w:marTop w:val="0"/>
          <w:marBottom w:val="0"/>
          <w:divBdr>
            <w:top w:val="none" w:sz="0" w:space="0" w:color="auto"/>
            <w:left w:val="none" w:sz="0" w:space="0" w:color="auto"/>
            <w:bottom w:val="none" w:sz="0" w:space="0" w:color="auto"/>
            <w:right w:val="none" w:sz="0" w:space="0" w:color="auto"/>
          </w:divBdr>
        </w:div>
        <w:div w:id="932976867">
          <w:marLeft w:val="0"/>
          <w:marRight w:val="0"/>
          <w:marTop w:val="0"/>
          <w:marBottom w:val="0"/>
          <w:divBdr>
            <w:top w:val="none" w:sz="0" w:space="0" w:color="auto"/>
            <w:left w:val="none" w:sz="0" w:space="0" w:color="auto"/>
            <w:bottom w:val="none" w:sz="0" w:space="0" w:color="auto"/>
            <w:right w:val="none" w:sz="0" w:space="0" w:color="auto"/>
          </w:divBdr>
        </w:div>
        <w:div w:id="944581698">
          <w:marLeft w:val="0"/>
          <w:marRight w:val="0"/>
          <w:marTop w:val="0"/>
          <w:marBottom w:val="0"/>
          <w:divBdr>
            <w:top w:val="none" w:sz="0" w:space="0" w:color="auto"/>
            <w:left w:val="none" w:sz="0" w:space="0" w:color="auto"/>
            <w:bottom w:val="none" w:sz="0" w:space="0" w:color="auto"/>
            <w:right w:val="none" w:sz="0" w:space="0" w:color="auto"/>
          </w:divBdr>
        </w:div>
        <w:div w:id="971835921">
          <w:marLeft w:val="0"/>
          <w:marRight w:val="0"/>
          <w:marTop w:val="0"/>
          <w:marBottom w:val="0"/>
          <w:divBdr>
            <w:top w:val="none" w:sz="0" w:space="0" w:color="auto"/>
            <w:left w:val="none" w:sz="0" w:space="0" w:color="auto"/>
            <w:bottom w:val="none" w:sz="0" w:space="0" w:color="auto"/>
            <w:right w:val="none" w:sz="0" w:space="0" w:color="auto"/>
          </w:divBdr>
        </w:div>
        <w:div w:id="983117741">
          <w:marLeft w:val="0"/>
          <w:marRight w:val="0"/>
          <w:marTop w:val="0"/>
          <w:marBottom w:val="0"/>
          <w:divBdr>
            <w:top w:val="none" w:sz="0" w:space="0" w:color="auto"/>
            <w:left w:val="none" w:sz="0" w:space="0" w:color="auto"/>
            <w:bottom w:val="none" w:sz="0" w:space="0" w:color="auto"/>
            <w:right w:val="none" w:sz="0" w:space="0" w:color="auto"/>
          </w:divBdr>
        </w:div>
        <w:div w:id="1004746060">
          <w:marLeft w:val="0"/>
          <w:marRight w:val="0"/>
          <w:marTop w:val="0"/>
          <w:marBottom w:val="0"/>
          <w:divBdr>
            <w:top w:val="none" w:sz="0" w:space="0" w:color="auto"/>
            <w:left w:val="none" w:sz="0" w:space="0" w:color="auto"/>
            <w:bottom w:val="none" w:sz="0" w:space="0" w:color="auto"/>
            <w:right w:val="none" w:sz="0" w:space="0" w:color="auto"/>
          </w:divBdr>
        </w:div>
        <w:div w:id="1042634656">
          <w:marLeft w:val="0"/>
          <w:marRight w:val="0"/>
          <w:marTop w:val="0"/>
          <w:marBottom w:val="0"/>
          <w:divBdr>
            <w:top w:val="none" w:sz="0" w:space="0" w:color="auto"/>
            <w:left w:val="none" w:sz="0" w:space="0" w:color="auto"/>
            <w:bottom w:val="none" w:sz="0" w:space="0" w:color="auto"/>
            <w:right w:val="none" w:sz="0" w:space="0" w:color="auto"/>
          </w:divBdr>
        </w:div>
        <w:div w:id="1049114588">
          <w:marLeft w:val="0"/>
          <w:marRight w:val="0"/>
          <w:marTop w:val="0"/>
          <w:marBottom w:val="0"/>
          <w:divBdr>
            <w:top w:val="none" w:sz="0" w:space="0" w:color="auto"/>
            <w:left w:val="none" w:sz="0" w:space="0" w:color="auto"/>
            <w:bottom w:val="none" w:sz="0" w:space="0" w:color="auto"/>
            <w:right w:val="none" w:sz="0" w:space="0" w:color="auto"/>
          </w:divBdr>
        </w:div>
        <w:div w:id="1066948969">
          <w:marLeft w:val="0"/>
          <w:marRight w:val="0"/>
          <w:marTop w:val="0"/>
          <w:marBottom w:val="0"/>
          <w:divBdr>
            <w:top w:val="none" w:sz="0" w:space="0" w:color="auto"/>
            <w:left w:val="none" w:sz="0" w:space="0" w:color="auto"/>
            <w:bottom w:val="none" w:sz="0" w:space="0" w:color="auto"/>
            <w:right w:val="none" w:sz="0" w:space="0" w:color="auto"/>
          </w:divBdr>
        </w:div>
        <w:div w:id="1126585593">
          <w:marLeft w:val="0"/>
          <w:marRight w:val="0"/>
          <w:marTop w:val="0"/>
          <w:marBottom w:val="0"/>
          <w:divBdr>
            <w:top w:val="none" w:sz="0" w:space="0" w:color="auto"/>
            <w:left w:val="none" w:sz="0" w:space="0" w:color="auto"/>
            <w:bottom w:val="none" w:sz="0" w:space="0" w:color="auto"/>
            <w:right w:val="none" w:sz="0" w:space="0" w:color="auto"/>
          </w:divBdr>
        </w:div>
        <w:div w:id="1155881499">
          <w:marLeft w:val="0"/>
          <w:marRight w:val="0"/>
          <w:marTop w:val="0"/>
          <w:marBottom w:val="0"/>
          <w:divBdr>
            <w:top w:val="none" w:sz="0" w:space="0" w:color="auto"/>
            <w:left w:val="none" w:sz="0" w:space="0" w:color="auto"/>
            <w:bottom w:val="none" w:sz="0" w:space="0" w:color="auto"/>
            <w:right w:val="none" w:sz="0" w:space="0" w:color="auto"/>
          </w:divBdr>
        </w:div>
        <w:div w:id="1199779305">
          <w:marLeft w:val="0"/>
          <w:marRight w:val="0"/>
          <w:marTop w:val="0"/>
          <w:marBottom w:val="0"/>
          <w:divBdr>
            <w:top w:val="none" w:sz="0" w:space="0" w:color="auto"/>
            <w:left w:val="none" w:sz="0" w:space="0" w:color="auto"/>
            <w:bottom w:val="none" w:sz="0" w:space="0" w:color="auto"/>
            <w:right w:val="none" w:sz="0" w:space="0" w:color="auto"/>
          </w:divBdr>
        </w:div>
        <w:div w:id="1250237437">
          <w:marLeft w:val="0"/>
          <w:marRight w:val="0"/>
          <w:marTop w:val="0"/>
          <w:marBottom w:val="0"/>
          <w:divBdr>
            <w:top w:val="none" w:sz="0" w:space="0" w:color="auto"/>
            <w:left w:val="none" w:sz="0" w:space="0" w:color="auto"/>
            <w:bottom w:val="none" w:sz="0" w:space="0" w:color="auto"/>
            <w:right w:val="none" w:sz="0" w:space="0" w:color="auto"/>
          </w:divBdr>
        </w:div>
        <w:div w:id="1323658653">
          <w:marLeft w:val="0"/>
          <w:marRight w:val="0"/>
          <w:marTop w:val="0"/>
          <w:marBottom w:val="0"/>
          <w:divBdr>
            <w:top w:val="none" w:sz="0" w:space="0" w:color="auto"/>
            <w:left w:val="none" w:sz="0" w:space="0" w:color="auto"/>
            <w:bottom w:val="none" w:sz="0" w:space="0" w:color="auto"/>
            <w:right w:val="none" w:sz="0" w:space="0" w:color="auto"/>
          </w:divBdr>
        </w:div>
        <w:div w:id="1345984724">
          <w:marLeft w:val="0"/>
          <w:marRight w:val="0"/>
          <w:marTop w:val="0"/>
          <w:marBottom w:val="0"/>
          <w:divBdr>
            <w:top w:val="none" w:sz="0" w:space="0" w:color="auto"/>
            <w:left w:val="none" w:sz="0" w:space="0" w:color="auto"/>
            <w:bottom w:val="none" w:sz="0" w:space="0" w:color="auto"/>
            <w:right w:val="none" w:sz="0" w:space="0" w:color="auto"/>
          </w:divBdr>
        </w:div>
        <w:div w:id="1374037353">
          <w:marLeft w:val="0"/>
          <w:marRight w:val="0"/>
          <w:marTop w:val="0"/>
          <w:marBottom w:val="0"/>
          <w:divBdr>
            <w:top w:val="none" w:sz="0" w:space="0" w:color="auto"/>
            <w:left w:val="none" w:sz="0" w:space="0" w:color="auto"/>
            <w:bottom w:val="none" w:sz="0" w:space="0" w:color="auto"/>
            <w:right w:val="none" w:sz="0" w:space="0" w:color="auto"/>
          </w:divBdr>
        </w:div>
        <w:div w:id="1390685355">
          <w:marLeft w:val="0"/>
          <w:marRight w:val="0"/>
          <w:marTop w:val="0"/>
          <w:marBottom w:val="0"/>
          <w:divBdr>
            <w:top w:val="none" w:sz="0" w:space="0" w:color="auto"/>
            <w:left w:val="none" w:sz="0" w:space="0" w:color="auto"/>
            <w:bottom w:val="none" w:sz="0" w:space="0" w:color="auto"/>
            <w:right w:val="none" w:sz="0" w:space="0" w:color="auto"/>
          </w:divBdr>
        </w:div>
        <w:div w:id="1456827234">
          <w:marLeft w:val="0"/>
          <w:marRight w:val="0"/>
          <w:marTop w:val="0"/>
          <w:marBottom w:val="0"/>
          <w:divBdr>
            <w:top w:val="none" w:sz="0" w:space="0" w:color="auto"/>
            <w:left w:val="none" w:sz="0" w:space="0" w:color="auto"/>
            <w:bottom w:val="none" w:sz="0" w:space="0" w:color="auto"/>
            <w:right w:val="none" w:sz="0" w:space="0" w:color="auto"/>
          </w:divBdr>
        </w:div>
        <w:div w:id="1477527888">
          <w:marLeft w:val="0"/>
          <w:marRight w:val="0"/>
          <w:marTop w:val="0"/>
          <w:marBottom w:val="0"/>
          <w:divBdr>
            <w:top w:val="none" w:sz="0" w:space="0" w:color="auto"/>
            <w:left w:val="none" w:sz="0" w:space="0" w:color="auto"/>
            <w:bottom w:val="none" w:sz="0" w:space="0" w:color="auto"/>
            <w:right w:val="none" w:sz="0" w:space="0" w:color="auto"/>
          </w:divBdr>
        </w:div>
        <w:div w:id="1508667966">
          <w:marLeft w:val="0"/>
          <w:marRight w:val="0"/>
          <w:marTop w:val="0"/>
          <w:marBottom w:val="0"/>
          <w:divBdr>
            <w:top w:val="none" w:sz="0" w:space="0" w:color="auto"/>
            <w:left w:val="none" w:sz="0" w:space="0" w:color="auto"/>
            <w:bottom w:val="none" w:sz="0" w:space="0" w:color="auto"/>
            <w:right w:val="none" w:sz="0" w:space="0" w:color="auto"/>
          </w:divBdr>
        </w:div>
        <w:div w:id="1511527456">
          <w:marLeft w:val="0"/>
          <w:marRight w:val="0"/>
          <w:marTop w:val="0"/>
          <w:marBottom w:val="0"/>
          <w:divBdr>
            <w:top w:val="none" w:sz="0" w:space="0" w:color="auto"/>
            <w:left w:val="none" w:sz="0" w:space="0" w:color="auto"/>
            <w:bottom w:val="none" w:sz="0" w:space="0" w:color="auto"/>
            <w:right w:val="none" w:sz="0" w:space="0" w:color="auto"/>
          </w:divBdr>
        </w:div>
        <w:div w:id="1556813885">
          <w:marLeft w:val="0"/>
          <w:marRight w:val="0"/>
          <w:marTop w:val="0"/>
          <w:marBottom w:val="0"/>
          <w:divBdr>
            <w:top w:val="none" w:sz="0" w:space="0" w:color="auto"/>
            <w:left w:val="none" w:sz="0" w:space="0" w:color="auto"/>
            <w:bottom w:val="none" w:sz="0" w:space="0" w:color="auto"/>
            <w:right w:val="none" w:sz="0" w:space="0" w:color="auto"/>
          </w:divBdr>
        </w:div>
        <w:div w:id="1567572958">
          <w:marLeft w:val="0"/>
          <w:marRight w:val="0"/>
          <w:marTop w:val="0"/>
          <w:marBottom w:val="0"/>
          <w:divBdr>
            <w:top w:val="none" w:sz="0" w:space="0" w:color="auto"/>
            <w:left w:val="none" w:sz="0" w:space="0" w:color="auto"/>
            <w:bottom w:val="none" w:sz="0" w:space="0" w:color="auto"/>
            <w:right w:val="none" w:sz="0" w:space="0" w:color="auto"/>
          </w:divBdr>
        </w:div>
        <w:div w:id="1656572604">
          <w:marLeft w:val="0"/>
          <w:marRight w:val="0"/>
          <w:marTop w:val="0"/>
          <w:marBottom w:val="0"/>
          <w:divBdr>
            <w:top w:val="none" w:sz="0" w:space="0" w:color="auto"/>
            <w:left w:val="none" w:sz="0" w:space="0" w:color="auto"/>
            <w:bottom w:val="none" w:sz="0" w:space="0" w:color="auto"/>
            <w:right w:val="none" w:sz="0" w:space="0" w:color="auto"/>
          </w:divBdr>
        </w:div>
        <w:div w:id="1674454657">
          <w:marLeft w:val="0"/>
          <w:marRight w:val="0"/>
          <w:marTop w:val="0"/>
          <w:marBottom w:val="0"/>
          <w:divBdr>
            <w:top w:val="none" w:sz="0" w:space="0" w:color="auto"/>
            <w:left w:val="none" w:sz="0" w:space="0" w:color="auto"/>
            <w:bottom w:val="none" w:sz="0" w:space="0" w:color="auto"/>
            <w:right w:val="none" w:sz="0" w:space="0" w:color="auto"/>
          </w:divBdr>
        </w:div>
        <w:div w:id="1684431683">
          <w:marLeft w:val="0"/>
          <w:marRight w:val="0"/>
          <w:marTop w:val="0"/>
          <w:marBottom w:val="0"/>
          <w:divBdr>
            <w:top w:val="none" w:sz="0" w:space="0" w:color="auto"/>
            <w:left w:val="none" w:sz="0" w:space="0" w:color="auto"/>
            <w:bottom w:val="none" w:sz="0" w:space="0" w:color="auto"/>
            <w:right w:val="none" w:sz="0" w:space="0" w:color="auto"/>
          </w:divBdr>
        </w:div>
        <w:div w:id="1696929193">
          <w:marLeft w:val="0"/>
          <w:marRight w:val="0"/>
          <w:marTop w:val="0"/>
          <w:marBottom w:val="0"/>
          <w:divBdr>
            <w:top w:val="none" w:sz="0" w:space="0" w:color="auto"/>
            <w:left w:val="none" w:sz="0" w:space="0" w:color="auto"/>
            <w:bottom w:val="none" w:sz="0" w:space="0" w:color="auto"/>
            <w:right w:val="none" w:sz="0" w:space="0" w:color="auto"/>
          </w:divBdr>
        </w:div>
        <w:div w:id="1740130783">
          <w:marLeft w:val="0"/>
          <w:marRight w:val="0"/>
          <w:marTop w:val="0"/>
          <w:marBottom w:val="0"/>
          <w:divBdr>
            <w:top w:val="none" w:sz="0" w:space="0" w:color="auto"/>
            <w:left w:val="none" w:sz="0" w:space="0" w:color="auto"/>
            <w:bottom w:val="none" w:sz="0" w:space="0" w:color="auto"/>
            <w:right w:val="none" w:sz="0" w:space="0" w:color="auto"/>
          </w:divBdr>
        </w:div>
        <w:div w:id="1758667712">
          <w:marLeft w:val="0"/>
          <w:marRight w:val="0"/>
          <w:marTop w:val="0"/>
          <w:marBottom w:val="0"/>
          <w:divBdr>
            <w:top w:val="none" w:sz="0" w:space="0" w:color="auto"/>
            <w:left w:val="none" w:sz="0" w:space="0" w:color="auto"/>
            <w:bottom w:val="none" w:sz="0" w:space="0" w:color="auto"/>
            <w:right w:val="none" w:sz="0" w:space="0" w:color="auto"/>
          </w:divBdr>
        </w:div>
        <w:div w:id="1827240887">
          <w:marLeft w:val="0"/>
          <w:marRight w:val="0"/>
          <w:marTop w:val="0"/>
          <w:marBottom w:val="0"/>
          <w:divBdr>
            <w:top w:val="none" w:sz="0" w:space="0" w:color="auto"/>
            <w:left w:val="none" w:sz="0" w:space="0" w:color="auto"/>
            <w:bottom w:val="none" w:sz="0" w:space="0" w:color="auto"/>
            <w:right w:val="none" w:sz="0" w:space="0" w:color="auto"/>
          </w:divBdr>
        </w:div>
        <w:div w:id="1833837421">
          <w:marLeft w:val="0"/>
          <w:marRight w:val="0"/>
          <w:marTop w:val="0"/>
          <w:marBottom w:val="0"/>
          <w:divBdr>
            <w:top w:val="none" w:sz="0" w:space="0" w:color="auto"/>
            <w:left w:val="none" w:sz="0" w:space="0" w:color="auto"/>
            <w:bottom w:val="none" w:sz="0" w:space="0" w:color="auto"/>
            <w:right w:val="none" w:sz="0" w:space="0" w:color="auto"/>
          </w:divBdr>
        </w:div>
        <w:div w:id="1846901453">
          <w:marLeft w:val="0"/>
          <w:marRight w:val="0"/>
          <w:marTop w:val="0"/>
          <w:marBottom w:val="0"/>
          <w:divBdr>
            <w:top w:val="none" w:sz="0" w:space="0" w:color="auto"/>
            <w:left w:val="none" w:sz="0" w:space="0" w:color="auto"/>
            <w:bottom w:val="none" w:sz="0" w:space="0" w:color="auto"/>
            <w:right w:val="none" w:sz="0" w:space="0" w:color="auto"/>
          </w:divBdr>
        </w:div>
        <w:div w:id="1853035494">
          <w:marLeft w:val="0"/>
          <w:marRight w:val="0"/>
          <w:marTop w:val="0"/>
          <w:marBottom w:val="0"/>
          <w:divBdr>
            <w:top w:val="none" w:sz="0" w:space="0" w:color="auto"/>
            <w:left w:val="none" w:sz="0" w:space="0" w:color="auto"/>
            <w:bottom w:val="none" w:sz="0" w:space="0" w:color="auto"/>
            <w:right w:val="none" w:sz="0" w:space="0" w:color="auto"/>
          </w:divBdr>
        </w:div>
        <w:div w:id="1978603902">
          <w:marLeft w:val="0"/>
          <w:marRight w:val="0"/>
          <w:marTop w:val="0"/>
          <w:marBottom w:val="0"/>
          <w:divBdr>
            <w:top w:val="none" w:sz="0" w:space="0" w:color="auto"/>
            <w:left w:val="none" w:sz="0" w:space="0" w:color="auto"/>
            <w:bottom w:val="none" w:sz="0" w:space="0" w:color="auto"/>
            <w:right w:val="none" w:sz="0" w:space="0" w:color="auto"/>
          </w:divBdr>
        </w:div>
        <w:div w:id="2007249778">
          <w:marLeft w:val="0"/>
          <w:marRight w:val="0"/>
          <w:marTop w:val="0"/>
          <w:marBottom w:val="0"/>
          <w:divBdr>
            <w:top w:val="none" w:sz="0" w:space="0" w:color="auto"/>
            <w:left w:val="none" w:sz="0" w:space="0" w:color="auto"/>
            <w:bottom w:val="none" w:sz="0" w:space="0" w:color="auto"/>
            <w:right w:val="none" w:sz="0" w:space="0" w:color="auto"/>
          </w:divBdr>
        </w:div>
        <w:div w:id="2056654401">
          <w:marLeft w:val="0"/>
          <w:marRight w:val="0"/>
          <w:marTop w:val="0"/>
          <w:marBottom w:val="0"/>
          <w:divBdr>
            <w:top w:val="none" w:sz="0" w:space="0" w:color="auto"/>
            <w:left w:val="none" w:sz="0" w:space="0" w:color="auto"/>
            <w:bottom w:val="none" w:sz="0" w:space="0" w:color="auto"/>
            <w:right w:val="none" w:sz="0" w:space="0" w:color="auto"/>
          </w:divBdr>
        </w:div>
        <w:div w:id="2062748524">
          <w:marLeft w:val="0"/>
          <w:marRight w:val="0"/>
          <w:marTop w:val="0"/>
          <w:marBottom w:val="0"/>
          <w:divBdr>
            <w:top w:val="none" w:sz="0" w:space="0" w:color="auto"/>
            <w:left w:val="none" w:sz="0" w:space="0" w:color="auto"/>
            <w:bottom w:val="none" w:sz="0" w:space="0" w:color="auto"/>
            <w:right w:val="none" w:sz="0" w:space="0" w:color="auto"/>
          </w:divBdr>
        </w:div>
        <w:div w:id="2071027761">
          <w:marLeft w:val="0"/>
          <w:marRight w:val="0"/>
          <w:marTop w:val="0"/>
          <w:marBottom w:val="0"/>
          <w:divBdr>
            <w:top w:val="none" w:sz="0" w:space="0" w:color="auto"/>
            <w:left w:val="none" w:sz="0" w:space="0" w:color="auto"/>
            <w:bottom w:val="none" w:sz="0" w:space="0" w:color="auto"/>
            <w:right w:val="none" w:sz="0" w:space="0" w:color="auto"/>
          </w:divBdr>
        </w:div>
        <w:div w:id="2099058907">
          <w:marLeft w:val="0"/>
          <w:marRight w:val="0"/>
          <w:marTop w:val="0"/>
          <w:marBottom w:val="0"/>
          <w:divBdr>
            <w:top w:val="none" w:sz="0" w:space="0" w:color="auto"/>
            <w:left w:val="none" w:sz="0" w:space="0" w:color="auto"/>
            <w:bottom w:val="none" w:sz="0" w:space="0" w:color="auto"/>
            <w:right w:val="none" w:sz="0" w:space="0" w:color="auto"/>
          </w:divBdr>
        </w:div>
        <w:div w:id="2102144607">
          <w:marLeft w:val="0"/>
          <w:marRight w:val="0"/>
          <w:marTop w:val="0"/>
          <w:marBottom w:val="0"/>
          <w:divBdr>
            <w:top w:val="none" w:sz="0" w:space="0" w:color="auto"/>
            <w:left w:val="none" w:sz="0" w:space="0" w:color="auto"/>
            <w:bottom w:val="none" w:sz="0" w:space="0" w:color="auto"/>
            <w:right w:val="none" w:sz="0" w:space="0" w:color="auto"/>
          </w:divBdr>
        </w:div>
        <w:div w:id="2140299998">
          <w:marLeft w:val="0"/>
          <w:marRight w:val="0"/>
          <w:marTop w:val="0"/>
          <w:marBottom w:val="0"/>
          <w:divBdr>
            <w:top w:val="none" w:sz="0" w:space="0" w:color="auto"/>
            <w:left w:val="none" w:sz="0" w:space="0" w:color="auto"/>
            <w:bottom w:val="none" w:sz="0" w:space="0" w:color="auto"/>
            <w:right w:val="none" w:sz="0" w:space="0" w:color="auto"/>
          </w:divBdr>
        </w:div>
      </w:divsChild>
    </w:div>
    <w:div w:id="1471825939">
      <w:bodyDiv w:val="1"/>
      <w:marLeft w:val="0"/>
      <w:marRight w:val="0"/>
      <w:marTop w:val="0"/>
      <w:marBottom w:val="0"/>
      <w:divBdr>
        <w:top w:val="none" w:sz="0" w:space="0" w:color="auto"/>
        <w:left w:val="none" w:sz="0" w:space="0" w:color="auto"/>
        <w:bottom w:val="none" w:sz="0" w:space="0" w:color="auto"/>
        <w:right w:val="none" w:sz="0" w:space="0" w:color="auto"/>
      </w:divBdr>
      <w:divsChild>
        <w:div w:id="75324387">
          <w:marLeft w:val="0"/>
          <w:marRight w:val="0"/>
          <w:marTop w:val="0"/>
          <w:marBottom w:val="0"/>
          <w:divBdr>
            <w:top w:val="none" w:sz="0" w:space="0" w:color="auto"/>
            <w:left w:val="none" w:sz="0" w:space="0" w:color="auto"/>
            <w:bottom w:val="none" w:sz="0" w:space="0" w:color="auto"/>
            <w:right w:val="none" w:sz="0" w:space="0" w:color="auto"/>
          </w:divBdr>
        </w:div>
        <w:div w:id="456871771">
          <w:marLeft w:val="0"/>
          <w:marRight w:val="0"/>
          <w:marTop w:val="0"/>
          <w:marBottom w:val="0"/>
          <w:divBdr>
            <w:top w:val="none" w:sz="0" w:space="0" w:color="auto"/>
            <w:left w:val="none" w:sz="0" w:space="0" w:color="auto"/>
            <w:bottom w:val="none" w:sz="0" w:space="0" w:color="auto"/>
            <w:right w:val="none" w:sz="0" w:space="0" w:color="auto"/>
          </w:divBdr>
        </w:div>
        <w:div w:id="649486571">
          <w:marLeft w:val="0"/>
          <w:marRight w:val="0"/>
          <w:marTop w:val="0"/>
          <w:marBottom w:val="0"/>
          <w:divBdr>
            <w:top w:val="none" w:sz="0" w:space="0" w:color="auto"/>
            <w:left w:val="none" w:sz="0" w:space="0" w:color="auto"/>
            <w:bottom w:val="none" w:sz="0" w:space="0" w:color="auto"/>
            <w:right w:val="none" w:sz="0" w:space="0" w:color="auto"/>
          </w:divBdr>
        </w:div>
        <w:div w:id="974792060">
          <w:marLeft w:val="0"/>
          <w:marRight w:val="0"/>
          <w:marTop w:val="0"/>
          <w:marBottom w:val="0"/>
          <w:divBdr>
            <w:top w:val="none" w:sz="0" w:space="0" w:color="auto"/>
            <w:left w:val="none" w:sz="0" w:space="0" w:color="auto"/>
            <w:bottom w:val="none" w:sz="0" w:space="0" w:color="auto"/>
            <w:right w:val="none" w:sz="0" w:space="0" w:color="auto"/>
          </w:divBdr>
        </w:div>
        <w:div w:id="981622347">
          <w:marLeft w:val="0"/>
          <w:marRight w:val="0"/>
          <w:marTop w:val="0"/>
          <w:marBottom w:val="0"/>
          <w:divBdr>
            <w:top w:val="none" w:sz="0" w:space="0" w:color="auto"/>
            <w:left w:val="none" w:sz="0" w:space="0" w:color="auto"/>
            <w:bottom w:val="none" w:sz="0" w:space="0" w:color="auto"/>
            <w:right w:val="none" w:sz="0" w:space="0" w:color="auto"/>
          </w:divBdr>
        </w:div>
        <w:div w:id="1021976105">
          <w:marLeft w:val="0"/>
          <w:marRight w:val="0"/>
          <w:marTop w:val="0"/>
          <w:marBottom w:val="0"/>
          <w:divBdr>
            <w:top w:val="none" w:sz="0" w:space="0" w:color="auto"/>
            <w:left w:val="none" w:sz="0" w:space="0" w:color="auto"/>
            <w:bottom w:val="none" w:sz="0" w:space="0" w:color="auto"/>
            <w:right w:val="none" w:sz="0" w:space="0" w:color="auto"/>
          </w:divBdr>
        </w:div>
        <w:div w:id="1324890602">
          <w:marLeft w:val="0"/>
          <w:marRight w:val="0"/>
          <w:marTop w:val="0"/>
          <w:marBottom w:val="0"/>
          <w:divBdr>
            <w:top w:val="none" w:sz="0" w:space="0" w:color="auto"/>
            <w:left w:val="none" w:sz="0" w:space="0" w:color="auto"/>
            <w:bottom w:val="none" w:sz="0" w:space="0" w:color="auto"/>
            <w:right w:val="none" w:sz="0" w:space="0" w:color="auto"/>
          </w:divBdr>
        </w:div>
        <w:div w:id="1647470793">
          <w:marLeft w:val="0"/>
          <w:marRight w:val="0"/>
          <w:marTop w:val="0"/>
          <w:marBottom w:val="0"/>
          <w:divBdr>
            <w:top w:val="none" w:sz="0" w:space="0" w:color="auto"/>
            <w:left w:val="none" w:sz="0" w:space="0" w:color="auto"/>
            <w:bottom w:val="none" w:sz="0" w:space="0" w:color="auto"/>
            <w:right w:val="none" w:sz="0" w:space="0" w:color="auto"/>
          </w:divBdr>
        </w:div>
        <w:div w:id="1990210956">
          <w:marLeft w:val="0"/>
          <w:marRight w:val="0"/>
          <w:marTop w:val="0"/>
          <w:marBottom w:val="0"/>
          <w:divBdr>
            <w:top w:val="none" w:sz="0" w:space="0" w:color="auto"/>
            <w:left w:val="none" w:sz="0" w:space="0" w:color="auto"/>
            <w:bottom w:val="none" w:sz="0" w:space="0" w:color="auto"/>
            <w:right w:val="none" w:sz="0" w:space="0" w:color="auto"/>
          </w:divBdr>
        </w:div>
        <w:div w:id="2120175433">
          <w:marLeft w:val="0"/>
          <w:marRight w:val="0"/>
          <w:marTop w:val="0"/>
          <w:marBottom w:val="0"/>
          <w:divBdr>
            <w:top w:val="none" w:sz="0" w:space="0" w:color="auto"/>
            <w:left w:val="none" w:sz="0" w:space="0" w:color="auto"/>
            <w:bottom w:val="none" w:sz="0" w:space="0" w:color="auto"/>
            <w:right w:val="none" w:sz="0" w:space="0" w:color="auto"/>
          </w:divBdr>
        </w:div>
      </w:divsChild>
    </w:div>
    <w:div w:id="1494755869">
      <w:bodyDiv w:val="1"/>
      <w:marLeft w:val="0"/>
      <w:marRight w:val="0"/>
      <w:marTop w:val="0"/>
      <w:marBottom w:val="0"/>
      <w:divBdr>
        <w:top w:val="none" w:sz="0" w:space="0" w:color="auto"/>
        <w:left w:val="none" w:sz="0" w:space="0" w:color="auto"/>
        <w:bottom w:val="none" w:sz="0" w:space="0" w:color="auto"/>
        <w:right w:val="none" w:sz="0" w:space="0" w:color="auto"/>
      </w:divBdr>
    </w:div>
    <w:div w:id="1576938760">
      <w:bodyDiv w:val="1"/>
      <w:marLeft w:val="0"/>
      <w:marRight w:val="0"/>
      <w:marTop w:val="0"/>
      <w:marBottom w:val="0"/>
      <w:divBdr>
        <w:top w:val="none" w:sz="0" w:space="0" w:color="auto"/>
        <w:left w:val="none" w:sz="0" w:space="0" w:color="auto"/>
        <w:bottom w:val="none" w:sz="0" w:space="0" w:color="auto"/>
        <w:right w:val="none" w:sz="0" w:space="0" w:color="auto"/>
      </w:divBdr>
    </w:div>
    <w:div w:id="1715081044">
      <w:bodyDiv w:val="1"/>
      <w:marLeft w:val="0"/>
      <w:marRight w:val="0"/>
      <w:marTop w:val="0"/>
      <w:marBottom w:val="0"/>
      <w:divBdr>
        <w:top w:val="none" w:sz="0" w:space="0" w:color="auto"/>
        <w:left w:val="none" w:sz="0" w:space="0" w:color="auto"/>
        <w:bottom w:val="none" w:sz="0" w:space="0" w:color="auto"/>
        <w:right w:val="none" w:sz="0" w:space="0" w:color="auto"/>
      </w:divBdr>
    </w:div>
    <w:div w:id="1805155881">
      <w:bodyDiv w:val="1"/>
      <w:marLeft w:val="0"/>
      <w:marRight w:val="0"/>
      <w:marTop w:val="0"/>
      <w:marBottom w:val="0"/>
      <w:divBdr>
        <w:top w:val="none" w:sz="0" w:space="0" w:color="auto"/>
        <w:left w:val="none" w:sz="0" w:space="0" w:color="auto"/>
        <w:bottom w:val="none" w:sz="0" w:space="0" w:color="auto"/>
        <w:right w:val="none" w:sz="0" w:space="0" w:color="auto"/>
      </w:divBdr>
    </w:div>
    <w:div w:id="1878547329">
      <w:bodyDiv w:val="1"/>
      <w:marLeft w:val="0"/>
      <w:marRight w:val="0"/>
      <w:marTop w:val="0"/>
      <w:marBottom w:val="0"/>
      <w:divBdr>
        <w:top w:val="none" w:sz="0" w:space="0" w:color="auto"/>
        <w:left w:val="none" w:sz="0" w:space="0" w:color="auto"/>
        <w:bottom w:val="none" w:sz="0" w:space="0" w:color="auto"/>
        <w:right w:val="none" w:sz="0" w:space="0" w:color="auto"/>
      </w:divBdr>
    </w:div>
    <w:div w:id="2061704320">
      <w:bodyDiv w:val="1"/>
      <w:marLeft w:val="0"/>
      <w:marRight w:val="0"/>
      <w:marTop w:val="0"/>
      <w:marBottom w:val="0"/>
      <w:divBdr>
        <w:top w:val="none" w:sz="0" w:space="0" w:color="auto"/>
        <w:left w:val="none" w:sz="0" w:space="0" w:color="auto"/>
        <w:bottom w:val="none" w:sz="0" w:space="0" w:color="auto"/>
        <w:right w:val="none" w:sz="0" w:space="0" w:color="auto"/>
      </w:divBdr>
    </w:div>
    <w:div w:id="2102331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emf"/><Relationship Id="rId26" Type="http://schemas.openxmlformats.org/officeDocument/2006/relationships/footer" Target="footer8.xml"/><Relationship Id="rId39"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6.emf"/><Relationship Id="rId34" Type="http://schemas.openxmlformats.org/officeDocument/2006/relationships/chart" Target="charts/chart8.xml"/><Relationship Id="rId42" Type="http://schemas.openxmlformats.org/officeDocument/2006/relationships/image" Target="media/image14.jpeg"/><Relationship Id="rId47" Type="http://schemas.openxmlformats.org/officeDocument/2006/relationships/image" Target="media/image19.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5.xml"/><Relationship Id="rId25" Type="http://schemas.openxmlformats.org/officeDocument/2006/relationships/image" Target="media/image8.png"/><Relationship Id="rId33" Type="http://schemas.openxmlformats.org/officeDocument/2006/relationships/chart" Target="charts/chart7.xml"/><Relationship Id="rId38" Type="http://schemas.openxmlformats.org/officeDocument/2006/relationships/image" Target="media/image10.jpeg"/><Relationship Id="rId46"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5.emf"/><Relationship Id="rId29" Type="http://schemas.openxmlformats.org/officeDocument/2006/relationships/chart" Target="charts/chart3.xml"/><Relationship Id="rId41"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7.png"/><Relationship Id="rId32" Type="http://schemas.openxmlformats.org/officeDocument/2006/relationships/chart" Target="charts/chart6.xml"/><Relationship Id="rId37" Type="http://schemas.openxmlformats.org/officeDocument/2006/relationships/image" Target="media/image9.jpeg"/><Relationship Id="rId40" Type="http://schemas.openxmlformats.org/officeDocument/2006/relationships/image" Target="media/image12.jpeg"/><Relationship Id="rId45"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oter" Target="footer7.xml"/><Relationship Id="rId28" Type="http://schemas.openxmlformats.org/officeDocument/2006/relationships/chart" Target="charts/chart2.xml"/><Relationship Id="rId36" Type="http://schemas.openxmlformats.org/officeDocument/2006/relationships/chart" Target="charts/chart10.xml"/><Relationship Id="rId49" Type="http://schemas.openxmlformats.org/officeDocument/2006/relationships/footer" Target="footer9.xml"/><Relationship Id="rId10" Type="http://schemas.openxmlformats.org/officeDocument/2006/relationships/footer" Target="footer1.xml"/><Relationship Id="rId19" Type="http://schemas.openxmlformats.org/officeDocument/2006/relationships/image" Target="media/image4.emf"/><Relationship Id="rId31" Type="http://schemas.openxmlformats.org/officeDocument/2006/relationships/chart" Target="charts/chart5.xml"/><Relationship Id="rId44"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3.xml"/><Relationship Id="rId22" Type="http://schemas.openxmlformats.org/officeDocument/2006/relationships/footer" Target="footer6.xml"/><Relationship Id="rId27" Type="http://schemas.openxmlformats.org/officeDocument/2006/relationships/chart" Target="charts/chart1.xml"/><Relationship Id="rId30" Type="http://schemas.openxmlformats.org/officeDocument/2006/relationships/chart" Target="charts/chart4.xml"/><Relationship Id="rId35" Type="http://schemas.openxmlformats.org/officeDocument/2006/relationships/chart" Target="charts/chart9.xml"/><Relationship Id="rId43" Type="http://schemas.openxmlformats.org/officeDocument/2006/relationships/image" Target="media/image15.jpeg"/><Relationship Id="rId48" Type="http://schemas.openxmlformats.org/officeDocument/2006/relationships/image" Target="media/image20.emf"/><Relationship Id="rId8" Type="http://schemas.openxmlformats.org/officeDocument/2006/relationships/image" Target="media/image1.png"/><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al__ma_Sayfas_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_al__ma_Sayfas_10.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al__ma_Sayfas_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_al__ma_Sayfas_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_al__ma_Sayfas_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_al__ma_Sayfas_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_al__ma_Sayfas_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_al__ma_Sayfas_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_al__ma_Sayfas_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_al__ma_Sayfas_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v>ıc50</c:v>
          </c:tx>
          <c:spPr>
            <a:ln w="28575">
              <a:noFill/>
            </a:ln>
          </c:spPr>
          <c:marker>
            <c:spPr>
              <a:solidFill>
                <a:schemeClr val="tx1"/>
              </a:solidFill>
              <a:ln>
                <a:noFill/>
              </a:ln>
            </c:spPr>
          </c:marker>
          <c:trendline>
            <c:trendlineType val="exp"/>
            <c:intercept val="100"/>
            <c:dispRSqr val="1"/>
            <c:dispEq val="1"/>
            <c:trendlineLbl>
              <c:layout>
                <c:manualLayout>
                  <c:x val="-1.3434367295000893E-2"/>
                  <c:y val="-0.44521543502714334"/>
                </c:manualLayout>
              </c:layout>
              <c:numFmt formatCode="General" sourceLinked="0"/>
              <c:txPr>
                <a:bodyPr/>
                <a:lstStyle/>
                <a:p>
                  <a:pPr>
                    <a:defRPr sz="1000"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tr-TR"/>
                </a:p>
              </c:txPr>
            </c:trendlineLbl>
          </c:trendline>
          <c:xVal>
            <c:numRef>
              <c:f>MADDE1!$D$8:$D$13</c:f>
              <c:numCache>
                <c:formatCode>0.000000000</c:formatCode>
                <c:ptCount val="6"/>
                <c:pt idx="0">
                  <c:v>0</c:v>
                </c:pt>
                <c:pt idx="1">
                  <c:v>1.6927920912753493E-3</c:v>
                </c:pt>
                <c:pt idx="2">
                  <c:v>3.3855841825506986E-3</c:v>
                </c:pt>
                <c:pt idx="3">
                  <c:v>5.0783762738260477E-3</c:v>
                </c:pt>
                <c:pt idx="4">
                  <c:v>6.7711683651013972E-3</c:v>
                </c:pt>
                <c:pt idx="5">
                  <c:v>8.4639604563767467E-3</c:v>
                </c:pt>
              </c:numCache>
            </c:numRef>
          </c:xVal>
          <c:yVal>
            <c:numRef>
              <c:f>MADDE1!$C$8:$C$13</c:f>
              <c:numCache>
                <c:formatCode>General</c:formatCode>
                <c:ptCount val="6"/>
                <c:pt idx="0">
                  <c:v>100</c:v>
                </c:pt>
                <c:pt idx="1">
                  <c:v>80</c:v>
                </c:pt>
                <c:pt idx="2">
                  <c:v>57.000000000000014</c:v>
                </c:pt>
                <c:pt idx="3">
                  <c:v>49.000000000000014</c:v>
                </c:pt>
                <c:pt idx="4">
                  <c:v>36.000000000000007</c:v>
                </c:pt>
                <c:pt idx="5">
                  <c:v>27.000000000000004</c:v>
                </c:pt>
              </c:numCache>
            </c:numRef>
          </c:yVal>
          <c:smooth val="1"/>
        </c:ser>
        <c:dLbls>
          <c:showLegendKey val="0"/>
          <c:showVal val="0"/>
          <c:showCatName val="0"/>
          <c:showSerName val="0"/>
          <c:showPercent val="0"/>
          <c:showBubbleSize val="0"/>
        </c:dLbls>
        <c:axId val="299543168"/>
        <c:axId val="299542776"/>
      </c:scatterChart>
      <c:valAx>
        <c:axId val="299543168"/>
        <c:scaling>
          <c:orientation val="minMax"/>
          <c:max val="9.0000000000000028E-3"/>
          <c:min val="0"/>
        </c:scaling>
        <c:delete val="0"/>
        <c:axPos val="b"/>
        <c:title>
          <c:tx>
            <c:rich>
              <a:bodyPr/>
              <a:lstStyle/>
              <a:p>
                <a:pPr>
                  <a:defRPr b="1"/>
                </a:pPr>
                <a:r>
                  <a:rPr lang="tr-TR" b="1"/>
                  <a:t>(</a:t>
                </a:r>
                <a:r>
                  <a:rPr lang="tr-TR" b="1">
                    <a:latin typeface="Times New Roman" panose="02020603050405020304" pitchFamily="18" charset="0"/>
                    <a:cs typeface="Times New Roman" panose="02020603050405020304" pitchFamily="18" charset="0"/>
                  </a:rPr>
                  <a:t>1-metil-4hidroksi-4-fenil piperidin-3-il) fenil metanon</a:t>
                </a:r>
                <a:r>
                  <a:rPr lang="tr-TR" b="1" baseline="0">
                    <a:latin typeface="Times New Roman" panose="02020603050405020304" pitchFamily="18" charset="0"/>
                    <a:cs typeface="Times New Roman" panose="02020603050405020304" pitchFamily="18" charset="0"/>
                  </a:rPr>
                  <a:t> (mM)</a:t>
                </a:r>
                <a:endParaRPr lang="tr-TR" b="1">
                  <a:latin typeface="Times New Roman" panose="02020603050405020304" pitchFamily="18" charset="0"/>
                  <a:cs typeface="Times New Roman" panose="02020603050405020304" pitchFamily="18" charset="0"/>
                </a:endParaRPr>
              </a:p>
            </c:rich>
          </c:tx>
          <c:overlay val="0"/>
        </c:title>
        <c:numFmt formatCode="#,##0.000" sourceLinked="0"/>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tr-TR"/>
          </a:p>
        </c:txPr>
        <c:crossAx val="299542776"/>
        <c:crosses val="autoZero"/>
        <c:crossBetween val="midCat"/>
        <c:majorUnit val="1.5000000000000005E-3"/>
        <c:minorUnit val="1.5000000000000007E-4"/>
      </c:valAx>
      <c:valAx>
        <c:axId val="299542776"/>
        <c:scaling>
          <c:orientation val="minMax"/>
          <c:max val="100"/>
        </c:scaling>
        <c:delete val="0"/>
        <c:axPos val="l"/>
        <c:majorGridlines/>
        <c:title>
          <c:tx>
            <c:rich>
              <a:bodyPr rot="-5400000" vert="horz"/>
              <a:lstStyle/>
              <a:p>
                <a:pPr>
                  <a:defRPr b="1">
                    <a:latin typeface="Times New Roman" pitchFamily="18" charset="0"/>
                    <a:cs typeface="Times New Roman" pitchFamily="18" charset="0"/>
                  </a:defRPr>
                </a:pPr>
                <a:r>
                  <a:rPr lang="en-US" b="1">
                    <a:latin typeface="Times New Roman" pitchFamily="18" charset="0"/>
                    <a:cs typeface="Times New Roman" pitchFamily="18" charset="0"/>
                  </a:rPr>
                  <a:t> Enzim Aktivitesi (%)</a:t>
                </a:r>
              </a:p>
            </c:rich>
          </c:tx>
          <c:overlay val="0"/>
        </c:title>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tr-TR"/>
          </a:p>
        </c:txPr>
        <c:crossAx val="299543168"/>
        <c:crosses val="autoZero"/>
        <c:crossBetween val="midCat"/>
        <c:majorUnit val="20"/>
      </c:valAx>
    </c:plotArea>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tr-TR"/>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8888888888888891E-2"/>
          <c:y val="5.1440251900434976E-2"/>
          <c:w val="0.8935223097112861"/>
          <c:h val="0.83249029671848684"/>
        </c:manualLayout>
      </c:layout>
      <c:scatterChart>
        <c:scatterStyle val="lineMarker"/>
        <c:varyColors val="0"/>
        <c:ser>
          <c:idx val="0"/>
          <c:order val="0"/>
          <c:tx>
            <c:v>Kontrol</c:v>
          </c:tx>
          <c:spPr>
            <a:ln w="28575">
              <a:noFill/>
            </a:ln>
          </c:spPr>
          <c:marker>
            <c:symbol val="diamond"/>
            <c:size val="5"/>
            <c:spPr>
              <a:solidFill>
                <a:schemeClr val="tx1"/>
              </a:solidFill>
              <a:ln>
                <a:noFill/>
              </a:ln>
            </c:spPr>
          </c:marker>
          <c:trendline>
            <c:trendlineType val="linear"/>
            <c:backward val="50"/>
            <c:dispRSqr val="0"/>
            <c:dispEq val="0"/>
          </c:trendline>
          <c:xVal>
            <c:numRef>
              <c:f>MADDE1!$B$49:$F$49</c:f>
              <c:numCache>
                <c:formatCode>General</c:formatCode>
                <c:ptCount val="5"/>
                <c:pt idx="0">
                  <c:v>41.666666666666664</c:v>
                </c:pt>
                <c:pt idx="1">
                  <c:v>27.777777777777779</c:v>
                </c:pt>
                <c:pt idx="2">
                  <c:v>20.833333333333332</c:v>
                </c:pt>
                <c:pt idx="3">
                  <c:v>16.666666666666668</c:v>
                </c:pt>
                <c:pt idx="4">
                  <c:v>13.888888888888889</c:v>
                </c:pt>
              </c:numCache>
            </c:numRef>
          </c:xVal>
          <c:yVal>
            <c:numRef>
              <c:f>MADDE1!$B$50:$F$50</c:f>
              <c:numCache>
                <c:formatCode>General</c:formatCode>
                <c:ptCount val="5"/>
                <c:pt idx="0">
                  <c:v>99</c:v>
                </c:pt>
                <c:pt idx="1">
                  <c:v>77.714285714285708</c:v>
                </c:pt>
                <c:pt idx="2">
                  <c:v>66.341463414634148</c:v>
                </c:pt>
                <c:pt idx="3">
                  <c:v>60.444444444444443</c:v>
                </c:pt>
                <c:pt idx="4">
                  <c:v>54.400000000000006</c:v>
                </c:pt>
              </c:numCache>
            </c:numRef>
          </c:yVal>
          <c:smooth val="0"/>
        </c:ser>
        <c:ser>
          <c:idx val="1"/>
          <c:order val="1"/>
          <c:tx>
            <c:v>[I]1:0,000028</c:v>
          </c:tx>
          <c:spPr>
            <a:ln w="28575">
              <a:noFill/>
            </a:ln>
          </c:spPr>
          <c:marker>
            <c:symbol val="square"/>
            <c:size val="5"/>
            <c:spPr>
              <a:solidFill>
                <a:schemeClr val="tx1"/>
              </a:solidFill>
              <a:ln>
                <a:noFill/>
              </a:ln>
            </c:spPr>
          </c:marker>
          <c:trendline>
            <c:trendlineType val="linear"/>
            <c:backward val="50"/>
            <c:dispRSqr val="0"/>
            <c:dispEq val="0"/>
          </c:trendline>
          <c:xVal>
            <c:numRef>
              <c:f>MADDE1!$B$49:$F$49</c:f>
              <c:numCache>
                <c:formatCode>General</c:formatCode>
                <c:ptCount val="5"/>
                <c:pt idx="0">
                  <c:v>41.666666666666664</c:v>
                </c:pt>
                <c:pt idx="1">
                  <c:v>27.777777777777779</c:v>
                </c:pt>
                <c:pt idx="2">
                  <c:v>20.833333333333332</c:v>
                </c:pt>
                <c:pt idx="3">
                  <c:v>16.666666666666668</c:v>
                </c:pt>
                <c:pt idx="4">
                  <c:v>13.888888888888889</c:v>
                </c:pt>
              </c:numCache>
            </c:numRef>
          </c:xVal>
          <c:yVal>
            <c:numRef>
              <c:f>MADDE1!$B$51:$F$51</c:f>
              <c:numCache>
                <c:formatCode>General</c:formatCode>
                <c:ptCount val="5"/>
                <c:pt idx="0">
                  <c:v>151.11111111111111</c:v>
                </c:pt>
                <c:pt idx="1">
                  <c:v>118.26086956521738</c:v>
                </c:pt>
                <c:pt idx="2">
                  <c:v>100.74074074074075</c:v>
                </c:pt>
                <c:pt idx="3">
                  <c:v>90.666666666666671</c:v>
                </c:pt>
                <c:pt idx="4">
                  <c:v>85</c:v>
                </c:pt>
              </c:numCache>
            </c:numRef>
          </c:yVal>
          <c:smooth val="0"/>
        </c:ser>
        <c:ser>
          <c:idx val="2"/>
          <c:order val="2"/>
          <c:tx>
            <c:v>[I]2:0,000033</c:v>
          </c:tx>
          <c:spPr>
            <a:ln w="28575">
              <a:noFill/>
            </a:ln>
          </c:spPr>
          <c:marker>
            <c:symbol val="triangle"/>
            <c:size val="5"/>
            <c:spPr>
              <a:solidFill>
                <a:schemeClr val="tx1"/>
              </a:solidFill>
              <a:ln>
                <a:noFill/>
              </a:ln>
            </c:spPr>
          </c:marker>
          <c:trendline>
            <c:trendlineType val="linear"/>
            <c:backward val="80"/>
            <c:dispRSqr val="0"/>
            <c:dispEq val="0"/>
          </c:trendline>
          <c:xVal>
            <c:numRef>
              <c:f>MADDE1!$B$49:$F$49</c:f>
              <c:numCache>
                <c:formatCode>General</c:formatCode>
                <c:ptCount val="5"/>
                <c:pt idx="0">
                  <c:v>41.666666666666664</c:v>
                </c:pt>
                <c:pt idx="1">
                  <c:v>27.777777777777779</c:v>
                </c:pt>
                <c:pt idx="2">
                  <c:v>20.833333333333332</c:v>
                </c:pt>
                <c:pt idx="3">
                  <c:v>16.666666666666668</c:v>
                </c:pt>
                <c:pt idx="4">
                  <c:v>13.888888888888889</c:v>
                </c:pt>
              </c:numCache>
            </c:numRef>
          </c:xVal>
          <c:yVal>
            <c:numRef>
              <c:f>MADDE1!$B$52:$F$52</c:f>
              <c:numCache>
                <c:formatCode>General</c:formatCode>
                <c:ptCount val="5"/>
                <c:pt idx="0">
                  <c:v>204</c:v>
                </c:pt>
                <c:pt idx="1">
                  <c:v>160</c:v>
                </c:pt>
                <c:pt idx="2">
                  <c:v>136</c:v>
                </c:pt>
                <c:pt idx="3">
                  <c:v>123.63636363636365</c:v>
                </c:pt>
                <c:pt idx="4">
                  <c:v>113.33333333333333</c:v>
                </c:pt>
              </c:numCache>
            </c:numRef>
          </c:yVal>
          <c:smooth val="0"/>
        </c:ser>
        <c:ser>
          <c:idx val="3"/>
          <c:order val="3"/>
          <c:tx>
            <c:v>[I]3:0,000045</c:v>
          </c:tx>
          <c:spPr>
            <a:ln w="28575">
              <a:noFill/>
            </a:ln>
          </c:spPr>
          <c:marker>
            <c:symbol val="circle"/>
            <c:size val="5"/>
            <c:spPr>
              <a:solidFill>
                <a:schemeClr val="tx1"/>
              </a:solidFill>
              <a:ln>
                <a:noFill/>
              </a:ln>
            </c:spPr>
          </c:marker>
          <c:trendline>
            <c:trendlineType val="linear"/>
            <c:backward val="30"/>
            <c:dispRSqr val="0"/>
            <c:dispEq val="0"/>
          </c:trendline>
          <c:trendline>
            <c:trendlineType val="linear"/>
            <c:dispRSqr val="0"/>
            <c:dispEq val="0"/>
          </c:trendline>
          <c:trendline>
            <c:trendlineType val="linear"/>
            <c:backward val="40"/>
            <c:dispRSqr val="0"/>
            <c:dispEq val="0"/>
          </c:trendline>
          <c:trendline>
            <c:trendlineType val="linear"/>
            <c:dispRSqr val="0"/>
            <c:dispEq val="0"/>
          </c:trendline>
          <c:xVal>
            <c:numRef>
              <c:f>MADDE1!$B$49:$F$49</c:f>
              <c:numCache>
                <c:formatCode>General</c:formatCode>
                <c:ptCount val="5"/>
                <c:pt idx="0">
                  <c:v>41.666666666666664</c:v>
                </c:pt>
                <c:pt idx="1">
                  <c:v>27.777777777777779</c:v>
                </c:pt>
                <c:pt idx="2">
                  <c:v>20.833333333333332</c:v>
                </c:pt>
                <c:pt idx="3">
                  <c:v>16.666666666666668</c:v>
                </c:pt>
                <c:pt idx="4">
                  <c:v>13.888888888888889</c:v>
                </c:pt>
              </c:numCache>
            </c:numRef>
          </c:xVal>
          <c:yVal>
            <c:numRef>
              <c:f>MADDE1!$B$53:$F$53</c:f>
              <c:numCache>
                <c:formatCode>General</c:formatCode>
                <c:ptCount val="5"/>
                <c:pt idx="0">
                  <c:v>270</c:v>
                </c:pt>
                <c:pt idx="1">
                  <c:v>209.23076923076925</c:v>
                </c:pt>
                <c:pt idx="2">
                  <c:v>181.33333333333334</c:v>
                </c:pt>
                <c:pt idx="3">
                  <c:v>160</c:v>
                </c:pt>
                <c:pt idx="4">
                  <c:v>151.11111111111111</c:v>
                </c:pt>
              </c:numCache>
            </c:numRef>
          </c:yVal>
          <c:smooth val="0"/>
        </c:ser>
        <c:dLbls>
          <c:showLegendKey val="0"/>
          <c:showVal val="0"/>
          <c:showCatName val="0"/>
          <c:showSerName val="0"/>
          <c:showPercent val="0"/>
          <c:showBubbleSize val="0"/>
        </c:dLbls>
        <c:axId val="306485152"/>
        <c:axId val="298673400"/>
      </c:scatterChart>
      <c:valAx>
        <c:axId val="306485152"/>
        <c:scaling>
          <c:orientation val="minMax"/>
          <c:min val="-22"/>
        </c:scaling>
        <c:delete val="0"/>
        <c:axPos val="b"/>
        <c:title>
          <c:tx>
            <c:rich>
              <a:bodyPr/>
              <a:lstStyle/>
              <a:p>
                <a:pPr>
                  <a:defRPr>
                    <a:latin typeface="Times New Roman" panose="02020603050405020304" pitchFamily="18" charset="0"/>
                    <a:cs typeface="Times New Roman" panose="02020603050405020304" pitchFamily="18" charset="0"/>
                  </a:defRPr>
                </a:pPr>
                <a:r>
                  <a:rPr lang="tr-TR">
                    <a:latin typeface="Times New Roman" panose="02020603050405020304" pitchFamily="18" charset="0"/>
                    <a:cs typeface="Times New Roman" panose="02020603050405020304" pitchFamily="18" charset="0"/>
                  </a:rPr>
                  <a:t>1/S</a:t>
                </a:r>
                <a:r>
                  <a:rPr lang="tr-TR" baseline="0">
                    <a:latin typeface="Times New Roman" panose="02020603050405020304" pitchFamily="18" charset="0"/>
                    <a:cs typeface="Times New Roman" panose="02020603050405020304" pitchFamily="18" charset="0"/>
                  </a:rPr>
                  <a:t> (mM)</a:t>
                </a:r>
                <a:endParaRPr lang="tr-TR">
                  <a:latin typeface="Times New Roman" panose="02020603050405020304" pitchFamily="18" charset="0"/>
                  <a:cs typeface="Times New Roman" panose="02020603050405020304" pitchFamily="18" charset="0"/>
                </a:endParaRPr>
              </a:p>
            </c:rich>
          </c:tx>
          <c:overlay val="0"/>
        </c:title>
        <c:numFmt formatCode="General" sourceLinked="1"/>
        <c:majorTickMark val="out"/>
        <c:minorTickMark val="none"/>
        <c:tickLblPos val="nextTo"/>
        <c:crossAx val="298673400"/>
        <c:crosses val="autoZero"/>
        <c:crossBetween val="midCat"/>
      </c:valAx>
      <c:valAx>
        <c:axId val="298673400"/>
        <c:scaling>
          <c:orientation val="minMax"/>
          <c:max val="300"/>
          <c:min val="0"/>
        </c:scaling>
        <c:delete val="0"/>
        <c:axPos val="l"/>
        <c:title>
          <c:tx>
            <c:rich>
              <a:bodyPr rot="-5400000" vert="horz"/>
              <a:lstStyle/>
              <a:p>
                <a:pPr>
                  <a:defRPr>
                    <a:latin typeface="Times New Roman" pitchFamily="18" charset="0"/>
                    <a:cs typeface="Times New Roman" pitchFamily="18" charset="0"/>
                  </a:defRPr>
                </a:pPr>
                <a:r>
                  <a:rPr lang="tr-TR">
                    <a:latin typeface="Times New Roman" pitchFamily="18" charset="0"/>
                    <a:cs typeface="Times New Roman" pitchFamily="18" charset="0"/>
                  </a:rPr>
                  <a:t>1/V</a:t>
                </a:r>
                <a:r>
                  <a:rPr lang="tr-TR" baseline="0">
                    <a:latin typeface="Times New Roman" pitchFamily="18" charset="0"/>
                    <a:cs typeface="Times New Roman" pitchFamily="18" charset="0"/>
                  </a:rPr>
                  <a:t> (EU/ml)</a:t>
                </a:r>
                <a:r>
                  <a:rPr lang="tr-TR" baseline="30000">
                    <a:latin typeface="Times New Roman" pitchFamily="18" charset="0"/>
                    <a:cs typeface="Times New Roman" pitchFamily="18" charset="0"/>
                  </a:rPr>
                  <a:t>-1</a:t>
                </a:r>
              </a:p>
            </c:rich>
          </c:tx>
          <c:layout>
            <c:manualLayout>
              <c:xMode val="edge"/>
              <c:yMode val="edge"/>
              <c:x val="2.6745657557425646E-2"/>
              <c:y val="0.38678849813485766"/>
            </c:manualLayout>
          </c:layout>
          <c:overlay val="0"/>
        </c:title>
        <c:numFmt formatCode="General" sourceLinked="1"/>
        <c:majorTickMark val="out"/>
        <c:minorTickMark val="none"/>
        <c:tickLblPos val="nextTo"/>
        <c:crossAx val="306485152"/>
        <c:crosses val="autoZero"/>
        <c:crossBetween val="midCat"/>
      </c:valAx>
    </c:plotArea>
    <c:legend>
      <c:legendPos val="r"/>
      <c:legendEntry>
        <c:idx val="4"/>
        <c:delete val="1"/>
      </c:legendEntry>
      <c:legendEntry>
        <c:idx val="5"/>
        <c:delete val="1"/>
      </c:legendEntry>
      <c:legendEntry>
        <c:idx val="6"/>
        <c:delete val="1"/>
      </c:legendEntry>
      <c:legendEntry>
        <c:idx val="7"/>
        <c:delete val="1"/>
      </c:legendEntry>
      <c:legendEntry>
        <c:idx val="8"/>
        <c:delete val="1"/>
      </c:legendEntry>
      <c:legendEntry>
        <c:idx val="9"/>
        <c:delete val="1"/>
      </c:legendEntry>
      <c:legendEntry>
        <c:idx val="10"/>
        <c:delete val="1"/>
      </c:legendEntry>
      <c:layout>
        <c:manualLayout>
          <c:xMode val="edge"/>
          <c:yMode val="edge"/>
          <c:x val="5.7332745245290202E-2"/>
          <c:y val="7.7698986668522568E-2"/>
          <c:w val="0.19305457241447871"/>
          <c:h val="0.5579176274657035"/>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496207527967678E-2"/>
          <c:y val="2.7072530690701892E-2"/>
          <c:w val="0.8935223097112861"/>
          <c:h val="0.83249029671848684"/>
        </c:manualLayout>
      </c:layout>
      <c:scatterChart>
        <c:scatterStyle val="lineMarker"/>
        <c:varyColors val="0"/>
        <c:ser>
          <c:idx val="0"/>
          <c:order val="0"/>
          <c:tx>
            <c:v>Kontrol</c:v>
          </c:tx>
          <c:spPr>
            <a:ln w="28575">
              <a:noFill/>
            </a:ln>
          </c:spPr>
          <c:marker>
            <c:symbol val="diamond"/>
            <c:size val="5"/>
            <c:spPr>
              <a:solidFill>
                <a:schemeClr val="tx1"/>
              </a:solidFill>
              <a:ln>
                <a:noFill/>
              </a:ln>
            </c:spPr>
          </c:marker>
          <c:trendline>
            <c:trendlineType val="linear"/>
            <c:backward val="50"/>
            <c:dispRSqr val="0"/>
            <c:dispEq val="0"/>
          </c:trendline>
          <c:xVal>
            <c:numRef>
              <c:f>MADDE1!$B$49:$F$49</c:f>
              <c:numCache>
                <c:formatCode>General</c:formatCode>
                <c:ptCount val="5"/>
                <c:pt idx="0">
                  <c:v>41.666666666666664</c:v>
                </c:pt>
                <c:pt idx="1">
                  <c:v>27.777777777777779</c:v>
                </c:pt>
                <c:pt idx="2">
                  <c:v>20.833333333333332</c:v>
                </c:pt>
                <c:pt idx="3">
                  <c:v>16.666666666666668</c:v>
                </c:pt>
                <c:pt idx="4">
                  <c:v>13.888888888888889</c:v>
                </c:pt>
              </c:numCache>
            </c:numRef>
          </c:xVal>
          <c:yVal>
            <c:numRef>
              <c:f>MADDE1!$B$50:$F$50</c:f>
              <c:numCache>
                <c:formatCode>General</c:formatCode>
                <c:ptCount val="5"/>
                <c:pt idx="0">
                  <c:v>32.38095238095238</c:v>
                </c:pt>
                <c:pt idx="1">
                  <c:v>28.333333333333332</c:v>
                </c:pt>
                <c:pt idx="2">
                  <c:v>24</c:v>
                </c:pt>
                <c:pt idx="3">
                  <c:v>19.710144927536231</c:v>
                </c:pt>
                <c:pt idx="4">
                  <c:v>17.3</c:v>
                </c:pt>
              </c:numCache>
            </c:numRef>
          </c:yVal>
          <c:smooth val="0"/>
        </c:ser>
        <c:ser>
          <c:idx val="1"/>
          <c:order val="1"/>
          <c:tx>
            <c:v>[I]1:0,00285</c:v>
          </c:tx>
          <c:spPr>
            <a:ln w="28575">
              <a:noFill/>
            </a:ln>
          </c:spPr>
          <c:marker>
            <c:symbol val="square"/>
            <c:size val="5"/>
            <c:spPr>
              <a:solidFill>
                <a:schemeClr val="tx1"/>
              </a:solidFill>
              <a:ln>
                <a:noFill/>
              </a:ln>
            </c:spPr>
          </c:marker>
          <c:trendline>
            <c:trendlineType val="linear"/>
            <c:backward val="50"/>
            <c:dispRSqr val="0"/>
            <c:dispEq val="0"/>
          </c:trendline>
          <c:xVal>
            <c:numRef>
              <c:f>MADDE1!$B$49:$F$49</c:f>
              <c:numCache>
                <c:formatCode>General</c:formatCode>
                <c:ptCount val="5"/>
                <c:pt idx="0">
                  <c:v>41.666666666666664</c:v>
                </c:pt>
                <c:pt idx="1">
                  <c:v>27.777777777777779</c:v>
                </c:pt>
                <c:pt idx="2">
                  <c:v>20.833333333333332</c:v>
                </c:pt>
                <c:pt idx="3">
                  <c:v>16.666666666666668</c:v>
                </c:pt>
                <c:pt idx="4">
                  <c:v>13.888888888888889</c:v>
                </c:pt>
              </c:numCache>
            </c:numRef>
          </c:xVal>
          <c:yVal>
            <c:numRef>
              <c:f>MADDE1!$B$51:$F$51</c:f>
              <c:numCache>
                <c:formatCode>General</c:formatCode>
                <c:ptCount val="5"/>
                <c:pt idx="0">
                  <c:v>64.761904761904759</c:v>
                </c:pt>
                <c:pt idx="1">
                  <c:v>48.571428571428562</c:v>
                </c:pt>
                <c:pt idx="2">
                  <c:v>40</c:v>
                </c:pt>
                <c:pt idx="3">
                  <c:v>38.857142857142854</c:v>
                </c:pt>
                <c:pt idx="4">
                  <c:v>37.777777777777779</c:v>
                </c:pt>
              </c:numCache>
            </c:numRef>
          </c:yVal>
          <c:smooth val="0"/>
        </c:ser>
        <c:ser>
          <c:idx val="2"/>
          <c:order val="2"/>
          <c:tx>
            <c:v>[I]2:0,00325</c:v>
          </c:tx>
          <c:spPr>
            <a:ln w="28575">
              <a:noFill/>
            </a:ln>
          </c:spPr>
          <c:marker>
            <c:symbol val="triangle"/>
            <c:size val="5"/>
            <c:spPr>
              <a:solidFill>
                <a:schemeClr val="tx1"/>
              </a:solidFill>
              <a:ln>
                <a:noFill/>
              </a:ln>
            </c:spPr>
          </c:marker>
          <c:trendline>
            <c:trendlineType val="linear"/>
            <c:backward val="80"/>
            <c:dispRSqr val="0"/>
            <c:dispEq val="0"/>
          </c:trendline>
          <c:xVal>
            <c:numRef>
              <c:f>MADDE1!$B$49:$F$49</c:f>
              <c:numCache>
                <c:formatCode>General</c:formatCode>
                <c:ptCount val="5"/>
                <c:pt idx="0">
                  <c:v>41.666666666666664</c:v>
                </c:pt>
                <c:pt idx="1">
                  <c:v>27.777777777777779</c:v>
                </c:pt>
                <c:pt idx="2">
                  <c:v>20.833333333333332</c:v>
                </c:pt>
                <c:pt idx="3">
                  <c:v>16.666666666666668</c:v>
                </c:pt>
                <c:pt idx="4">
                  <c:v>13.888888888888889</c:v>
                </c:pt>
              </c:numCache>
            </c:numRef>
          </c:xVal>
          <c:yVal>
            <c:numRef>
              <c:f>MADDE1!$B$52:$F$52</c:f>
              <c:numCache>
                <c:formatCode>General</c:formatCode>
                <c:ptCount val="5"/>
                <c:pt idx="0">
                  <c:v>85</c:v>
                </c:pt>
                <c:pt idx="1">
                  <c:v>68</c:v>
                </c:pt>
                <c:pt idx="2">
                  <c:v>54.400000000000006</c:v>
                </c:pt>
                <c:pt idx="3">
                  <c:v>52.307692307692314</c:v>
                </c:pt>
                <c:pt idx="4">
                  <c:v>48.571428571428562</c:v>
                </c:pt>
              </c:numCache>
            </c:numRef>
          </c:yVal>
          <c:smooth val="0"/>
        </c:ser>
        <c:ser>
          <c:idx val="3"/>
          <c:order val="3"/>
          <c:tx>
            <c:v>[I]3:0,00423</c:v>
          </c:tx>
          <c:spPr>
            <a:ln w="28575">
              <a:noFill/>
            </a:ln>
          </c:spPr>
          <c:marker>
            <c:symbol val="circle"/>
            <c:size val="5"/>
            <c:spPr>
              <a:solidFill>
                <a:schemeClr val="tx1"/>
              </a:solidFill>
              <a:ln>
                <a:noFill/>
              </a:ln>
            </c:spPr>
          </c:marker>
          <c:trendline>
            <c:trendlineType val="linear"/>
            <c:backward val="30"/>
            <c:dispRSqr val="0"/>
            <c:dispEq val="0"/>
          </c:trendline>
          <c:trendline>
            <c:trendlineType val="linear"/>
            <c:dispRSqr val="0"/>
            <c:dispEq val="0"/>
          </c:trendline>
          <c:trendline>
            <c:trendlineType val="linear"/>
            <c:backward val="40"/>
            <c:dispRSqr val="0"/>
            <c:dispEq val="0"/>
          </c:trendline>
          <c:xVal>
            <c:numRef>
              <c:f>MADDE1!$B$49:$F$49</c:f>
              <c:numCache>
                <c:formatCode>General</c:formatCode>
                <c:ptCount val="5"/>
                <c:pt idx="0">
                  <c:v>41.666666666666664</c:v>
                </c:pt>
                <c:pt idx="1">
                  <c:v>27.777777777777779</c:v>
                </c:pt>
                <c:pt idx="2">
                  <c:v>20.833333333333332</c:v>
                </c:pt>
                <c:pt idx="3">
                  <c:v>16.666666666666668</c:v>
                </c:pt>
                <c:pt idx="4">
                  <c:v>13.888888888888889</c:v>
                </c:pt>
              </c:numCache>
            </c:numRef>
          </c:xVal>
          <c:yVal>
            <c:numRef>
              <c:f>MADDE1!$B$53:$F$53</c:f>
              <c:numCache>
                <c:formatCode>General</c:formatCode>
                <c:ptCount val="5"/>
                <c:pt idx="0">
                  <c:v>113.33333333333333</c:v>
                </c:pt>
                <c:pt idx="1">
                  <c:v>88</c:v>
                </c:pt>
                <c:pt idx="2">
                  <c:v>75.555555555555557</c:v>
                </c:pt>
                <c:pt idx="3">
                  <c:v>68</c:v>
                </c:pt>
                <c:pt idx="4">
                  <c:v>64</c:v>
                </c:pt>
              </c:numCache>
            </c:numRef>
          </c:yVal>
          <c:smooth val="0"/>
        </c:ser>
        <c:dLbls>
          <c:showLegendKey val="0"/>
          <c:showVal val="0"/>
          <c:showCatName val="0"/>
          <c:showSerName val="0"/>
          <c:showPercent val="0"/>
          <c:showBubbleSize val="0"/>
        </c:dLbls>
        <c:axId val="306627616"/>
        <c:axId val="306627224"/>
      </c:scatterChart>
      <c:valAx>
        <c:axId val="306627616"/>
        <c:scaling>
          <c:orientation val="minMax"/>
          <c:min val="-25"/>
        </c:scaling>
        <c:delete val="0"/>
        <c:axPos val="b"/>
        <c:title>
          <c:tx>
            <c:rich>
              <a:bodyPr/>
              <a:lstStyle/>
              <a:p>
                <a:pPr>
                  <a:defRPr/>
                </a:pPr>
                <a:r>
                  <a:rPr lang="tr-TR">
                    <a:latin typeface="Times New Roman" panose="02020603050405020304" pitchFamily="18" charset="0"/>
                    <a:cs typeface="Times New Roman" panose="02020603050405020304" pitchFamily="18" charset="0"/>
                  </a:rPr>
                  <a:t>1/S</a:t>
                </a:r>
                <a:r>
                  <a:rPr lang="tr-TR" baseline="0">
                    <a:latin typeface="Times New Roman" panose="02020603050405020304" pitchFamily="18" charset="0"/>
                    <a:cs typeface="Times New Roman" panose="02020603050405020304" pitchFamily="18" charset="0"/>
                  </a:rPr>
                  <a:t> (mM)</a:t>
                </a:r>
                <a:endParaRPr lang="tr-TR">
                  <a:latin typeface="Times New Roman" panose="02020603050405020304" pitchFamily="18" charset="0"/>
                  <a:cs typeface="Times New Roman" panose="02020603050405020304" pitchFamily="18" charset="0"/>
                </a:endParaRPr>
              </a:p>
            </c:rich>
          </c:tx>
          <c:overlay val="0"/>
        </c:title>
        <c:numFmt formatCode="General" sourceLinked="1"/>
        <c:majorTickMark val="out"/>
        <c:minorTickMark val="none"/>
        <c:tickLblPos val="nextTo"/>
        <c:crossAx val="306627224"/>
        <c:crosses val="autoZero"/>
        <c:crossBetween val="midCat"/>
      </c:valAx>
      <c:valAx>
        <c:axId val="306627224"/>
        <c:scaling>
          <c:orientation val="minMax"/>
          <c:max val="120"/>
          <c:min val="0"/>
        </c:scaling>
        <c:delete val="0"/>
        <c:axPos val="l"/>
        <c:title>
          <c:tx>
            <c:rich>
              <a:bodyPr rot="-5400000" vert="horz"/>
              <a:lstStyle/>
              <a:p>
                <a:pPr>
                  <a:defRPr>
                    <a:latin typeface="Times New Roman" pitchFamily="18" charset="0"/>
                    <a:cs typeface="Times New Roman" pitchFamily="18" charset="0"/>
                  </a:defRPr>
                </a:pPr>
                <a:r>
                  <a:rPr lang="tr-TR">
                    <a:latin typeface="Times New Roman" pitchFamily="18" charset="0"/>
                    <a:cs typeface="Times New Roman" pitchFamily="18" charset="0"/>
                  </a:rPr>
                  <a:t>1/V</a:t>
                </a:r>
                <a:r>
                  <a:rPr lang="tr-TR" baseline="0">
                    <a:latin typeface="Times New Roman" pitchFamily="18" charset="0"/>
                    <a:cs typeface="Times New Roman" pitchFamily="18" charset="0"/>
                  </a:rPr>
                  <a:t> (EU/ml)</a:t>
                </a:r>
                <a:r>
                  <a:rPr lang="tr-TR" baseline="30000">
                    <a:latin typeface="Times New Roman" pitchFamily="18" charset="0"/>
                    <a:cs typeface="Times New Roman" pitchFamily="18" charset="0"/>
                  </a:rPr>
                  <a:t>-1</a:t>
                </a:r>
              </a:p>
            </c:rich>
          </c:tx>
          <c:layout>
            <c:manualLayout>
              <c:xMode val="edge"/>
              <c:yMode val="edge"/>
              <c:x val="2.6745657557425646E-2"/>
              <c:y val="0.38678849813485766"/>
            </c:manualLayout>
          </c:layout>
          <c:overlay val="0"/>
        </c:title>
        <c:numFmt formatCode="General" sourceLinked="1"/>
        <c:majorTickMark val="out"/>
        <c:minorTickMark val="none"/>
        <c:tickLblPos val="nextTo"/>
        <c:crossAx val="306627616"/>
        <c:crosses val="autoZero"/>
        <c:crossBetween val="midCat"/>
      </c:valAx>
    </c:plotArea>
    <c:legend>
      <c:legendPos val="r"/>
      <c:legendEntry>
        <c:idx val="4"/>
        <c:delete val="1"/>
      </c:legendEntry>
      <c:legendEntry>
        <c:idx val="5"/>
        <c:delete val="1"/>
      </c:legendEntry>
      <c:legendEntry>
        <c:idx val="6"/>
        <c:delete val="1"/>
      </c:legendEntry>
      <c:legendEntry>
        <c:idx val="7"/>
        <c:delete val="1"/>
      </c:legendEntry>
      <c:legendEntry>
        <c:idx val="8"/>
        <c:delete val="1"/>
      </c:legendEntry>
      <c:legendEntry>
        <c:idx val="9"/>
        <c:delete val="1"/>
      </c:legendEntry>
      <c:layout>
        <c:manualLayout>
          <c:xMode val="edge"/>
          <c:yMode val="edge"/>
          <c:x val="0.13148753280839903"/>
          <c:y val="9.1509450826552832E-2"/>
          <c:w val="0.14361809121685876"/>
          <c:h val="0.41635995500562428"/>
        </c:manualLayout>
      </c:layout>
      <c:overlay val="0"/>
      <c:txPr>
        <a:bodyPr/>
        <a:lstStyle/>
        <a:p>
          <a:pPr>
            <a:defRPr>
              <a:latin typeface="Times New Roman" panose="02020603050405020304" pitchFamily="18" charset="0"/>
              <a:cs typeface="Times New Roman" panose="02020603050405020304" pitchFamily="18" charset="0"/>
            </a:defRPr>
          </a:pPr>
          <a:endParaRPr lang="tr-TR"/>
        </a:p>
      </c:tx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v>ıc50</c:v>
          </c:tx>
          <c:spPr>
            <a:ln w="28575">
              <a:noFill/>
            </a:ln>
          </c:spPr>
          <c:marker>
            <c:spPr>
              <a:solidFill>
                <a:schemeClr val="tx1"/>
              </a:solidFill>
              <a:ln>
                <a:noFill/>
              </a:ln>
            </c:spPr>
          </c:marker>
          <c:trendline>
            <c:trendlineType val="exp"/>
            <c:intercept val="100"/>
            <c:dispRSqr val="1"/>
            <c:dispEq val="1"/>
            <c:trendlineLbl>
              <c:layout>
                <c:manualLayout>
                  <c:x val="-1.3434367295000893E-2"/>
                  <c:y val="-0.44521543502714334"/>
                </c:manualLayout>
              </c:layout>
              <c:numFmt formatCode="General" sourceLinked="0"/>
              <c:txPr>
                <a:bodyPr/>
                <a:lstStyle/>
                <a:p>
                  <a:pPr>
                    <a:defRPr sz="1000"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tr-TR"/>
                </a:p>
              </c:txPr>
            </c:trendlineLbl>
          </c:trendline>
          <c:xVal>
            <c:numRef>
              <c:f>MADDE1!$D$8:$D$13</c:f>
              <c:numCache>
                <c:formatCode>0.000000000</c:formatCode>
                <c:ptCount val="6"/>
                <c:pt idx="0">
                  <c:v>0</c:v>
                </c:pt>
                <c:pt idx="1">
                  <c:v>1.616031027795734E-3</c:v>
                </c:pt>
                <c:pt idx="2">
                  <c:v>3.232062055591468E-3</c:v>
                </c:pt>
                <c:pt idx="3">
                  <c:v>4.8480930833872012E-3</c:v>
                </c:pt>
                <c:pt idx="4">
                  <c:v>6.464124111182936E-3</c:v>
                </c:pt>
                <c:pt idx="5">
                  <c:v>8.0801551389786692E-3</c:v>
                </c:pt>
              </c:numCache>
            </c:numRef>
          </c:xVal>
          <c:yVal>
            <c:numRef>
              <c:f>MADDE1!$C$8:$C$13</c:f>
              <c:numCache>
                <c:formatCode>General</c:formatCode>
                <c:ptCount val="6"/>
                <c:pt idx="0">
                  <c:v>100</c:v>
                </c:pt>
                <c:pt idx="1">
                  <c:v>76.699029126213588</c:v>
                </c:pt>
                <c:pt idx="2">
                  <c:v>62.135922330097095</c:v>
                </c:pt>
                <c:pt idx="3">
                  <c:v>48.543689320388346</c:v>
                </c:pt>
                <c:pt idx="4">
                  <c:v>34.95145631067961</c:v>
                </c:pt>
                <c:pt idx="5">
                  <c:v>26.21359223300971</c:v>
                </c:pt>
              </c:numCache>
            </c:numRef>
          </c:yVal>
          <c:smooth val="1"/>
        </c:ser>
        <c:dLbls>
          <c:showLegendKey val="0"/>
          <c:showVal val="0"/>
          <c:showCatName val="0"/>
          <c:showSerName val="0"/>
          <c:showPercent val="0"/>
          <c:showBubbleSize val="0"/>
        </c:dLbls>
        <c:axId val="306695816"/>
        <c:axId val="306696208"/>
      </c:scatterChart>
      <c:valAx>
        <c:axId val="306695816"/>
        <c:scaling>
          <c:orientation val="minMax"/>
          <c:max val="9.0000000000000028E-3"/>
          <c:min val="0"/>
        </c:scaling>
        <c:delete val="0"/>
        <c:axPos val="b"/>
        <c:title>
          <c:tx>
            <c:rich>
              <a:bodyPr/>
              <a:lstStyle/>
              <a:p>
                <a:pPr>
                  <a:defRPr b="1"/>
                </a:pPr>
                <a:r>
                  <a:rPr lang="tr-TR" b="1" baseline="0">
                    <a:latin typeface="Times New Roman" panose="02020603050405020304" pitchFamily="18" charset="0"/>
                    <a:cs typeface="Times New Roman" panose="02020603050405020304" pitchFamily="18" charset="0"/>
                  </a:rPr>
                  <a:t>(1-etil-4hidroksi-4-fenil piperidin-3-il) (fenil) metanon (mM)</a:t>
                </a:r>
                <a:endParaRPr lang="tr-TR" b="1">
                  <a:latin typeface="Times New Roman" panose="02020603050405020304" pitchFamily="18" charset="0"/>
                  <a:cs typeface="Times New Roman" panose="02020603050405020304" pitchFamily="18" charset="0"/>
                </a:endParaRPr>
              </a:p>
            </c:rich>
          </c:tx>
          <c:overlay val="0"/>
        </c:title>
        <c:numFmt formatCode="#,##0.000" sourceLinked="0"/>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tr-TR"/>
          </a:p>
        </c:txPr>
        <c:crossAx val="306696208"/>
        <c:crosses val="autoZero"/>
        <c:crossBetween val="midCat"/>
        <c:majorUnit val="1.5000000000000005E-3"/>
        <c:minorUnit val="1.5000000000000007E-4"/>
      </c:valAx>
      <c:valAx>
        <c:axId val="306696208"/>
        <c:scaling>
          <c:orientation val="minMax"/>
          <c:max val="100"/>
        </c:scaling>
        <c:delete val="0"/>
        <c:axPos val="l"/>
        <c:majorGridlines/>
        <c:title>
          <c:tx>
            <c:rich>
              <a:bodyPr rot="-5400000" vert="horz"/>
              <a:lstStyle/>
              <a:p>
                <a:pPr>
                  <a:defRPr b="1">
                    <a:latin typeface="Times New Roman" pitchFamily="18" charset="0"/>
                    <a:cs typeface="Times New Roman" pitchFamily="18" charset="0"/>
                  </a:defRPr>
                </a:pPr>
                <a:r>
                  <a:rPr lang="en-US" b="1">
                    <a:latin typeface="Times New Roman" pitchFamily="18" charset="0"/>
                    <a:cs typeface="Times New Roman" pitchFamily="18" charset="0"/>
                  </a:rPr>
                  <a:t> Enzim Aktivitesi (%)</a:t>
                </a:r>
              </a:p>
            </c:rich>
          </c:tx>
          <c:overlay val="0"/>
        </c:title>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tr-TR"/>
          </a:p>
        </c:txPr>
        <c:crossAx val="306695816"/>
        <c:crosses val="autoZero"/>
        <c:crossBetween val="midCat"/>
        <c:majorUnit val="20"/>
      </c:valAx>
    </c:plotArea>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tr-TR"/>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1292834012410511E-2"/>
          <c:y val="2.7909392470931799E-2"/>
          <c:w val="0.8935223097112861"/>
          <c:h val="0.83249029671848684"/>
        </c:manualLayout>
      </c:layout>
      <c:scatterChart>
        <c:scatterStyle val="lineMarker"/>
        <c:varyColors val="0"/>
        <c:ser>
          <c:idx val="0"/>
          <c:order val="0"/>
          <c:tx>
            <c:v>Kontrol</c:v>
          </c:tx>
          <c:spPr>
            <a:ln w="28575">
              <a:noFill/>
            </a:ln>
          </c:spPr>
          <c:marker>
            <c:symbol val="diamond"/>
            <c:size val="5"/>
            <c:spPr>
              <a:solidFill>
                <a:schemeClr val="tx1"/>
              </a:solidFill>
              <a:ln>
                <a:noFill/>
              </a:ln>
            </c:spPr>
          </c:marker>
          <c:trendline>
            <c:trendlineType val="linear"/>
            <c:backward val="50"/>
            <c:dispRSqr val="0"/>
            <c:dispEq val="0"/>
          </c:trendline>
          <c:xVal>
            <c:numRef>
              <c:f>MADDE1!$B$49:$F$49</c:f>
              <c:numCache>
                <c:formatCode>General</c:formatCode>
                <c:ptCount val="5"/>
                <c:pt idx="0">
                  <c:v>41.666666666666664</c:v>
                </c:pt>
                <c:pt idx="1">
                  <c:v>27.777777777777779</c:v>
                </c:pt>
                <c:pt idx="2">
                  <c:v>20.833333333333332</c:v>
                </c:pt>
                <c:pt idx="3">
                  <c:v>16.666666666666668</c:v>
                </c:pt>
                <c:pt idx="4">
                  <c:v>13.888888888888889</c:v>
                </c:pt>
              </c:numCache>
            </c:numRef>
          </c:xVal>
          <c:yVal>
            <c:numRef>
              <c:f>MADDE1!$B$50:$F$50</c:f>
              <c:numCache>
                <c:formatCode>General</c:formatCode>
                <c:ptCount val="5"/>
                <c:pt idx="0">
                  <c:v>32.38095238095238</c:v>
                </c:pt>
                <c:pt idx="1">
                  <c:v>23.448275862068964</c:v>
                </c:pt>
                <c:pt idx="2">
                  <c:v>20.92307692307692</c:v>
                </c:pt>
                <c:pt idx="3">
                  <c:v>18.378378378378379</c:v>
                </c:pt>
                <c:pt idx="4">
                  <c:v>16.79012345679012</c:v>
                </c:pt>
              </c:numCache>
            </c:numRef>
          </c:yVal>
          <c:smooth val="0"/>
        </c:ser>
        <c:ser>
          <c:idx val="1"/>
          <c:order val="1"/>
          <c:tx>
            <c:v>[I]1:0,00240</c:v>
          </c:tx>
          <c:spPr>
            <a:ln w="28575">
              <a:noFill/>
            </a:ln>
          </c:spPr>
          <c:marker>
            <c:symbol val="square"/>
            <c:size val="5"/>
            <c:spPr>
              <a:solidFill>
                <a:schemeClr val="tx1"/>
              </a:solidFill>
              <a:ln>
                <a:noFill/>
              </a:ln>
            </c:spPr>
          </c:marker>
          <c:trendline>
            <c:trendlineType val="linear"/>
            <c:backward val="50"/>
            <c:dispRSqr val="0"/>
            <c:dispEq val="0"/>
          </c:trendline>
          <c:xVal>
            <c:numRef>
              <c:f>MADDE1!$B$49:$F$49</c:f>
              <c:numCache>
                <c:formatCode>General</c:formatCode>
                <c:ptCount val="5"/>
                <c:pt idx="0">
                  <c:v>41.666666666666664</c:v>
                </c:pt>
                <c:pt idx="1">
                  <c:v>27.777777777777779</c:v>
                </c:pt>
                <c:pt idx="2">
                  <c:v>20.833333333333332</c:v>
                </c:pt>
                <c:pt idx="3">
                  <c:v>16.666666666666668</c:v>
                </c:pt>
                <c:pt idx="4">
                  <c:v>13.888888888888889</c:v>
                </c:pt>
              </c:numCache>
            </c:numRef>
          </c:xVal>
          <c:yVal>
            <c:numRef>
              <c:f>MADDE1!$B$51:$F$51</c:f>
              <c:numCache>
                <c:formatCode>General</c:formatCode>
                <c:ptCount val="5"/>
                <c:pt idx="0">
                  <c:v>64.761904761904759</c:v>
                </c:pt>
                <c:pt idx="1">
                  <c:v>43.870967741935488</c:v>
                </c:pt>
                <c:pt idx="2">
                  <c:v>38.857142857142854</c:v>
                </c:pt>
                <c:pt idx="3">
                  <c:v>36.756756756756758</c:v>
                </c:pt>
                <c:pt idx="4">
                  <c:v>34</c:v>
                </c:pt>
              </c:numCache>
            </c:numRef>
          </c:yVal>
          <c:smooth val="0"/>
        </c:ser>
        <c:ser>
          <c:idx val="2"/>
          <c:order val="2"/>
          <c:tx>
            <c:v>[I]2:0,00317</c:v>
          </c:tx>
          <c:spPr>
            <a:ln w="28575">
              <a:noFill/>
            </a:ln>
          </c:spPr>
          <c:marker>
            <c:symbol val="triangle"/>
            <c:size val="5"/>
            <c:spPr>
              <a:solidFill>
                <a:schemeClr val="tx1"/>
              </a:solidFill>
              <a:ln>
                <a:noFill/>
              </a:ln>
            </c:spPr>
          </c:marker>
          <c:trendline>
            <c:trendlineType val="linear"/>
            <c:backward val="80"/>
            <c:dispRSqr val="0"/>
            <c:dispEq val="0"/>
          </c:trendline>
          <c:xVal>
            <c:numRef>
              <c:f>MADDE1!$B$49:$F$49</c:f>
              <c:numCache>
                <c:formatCode>General</c:formatCode>
                <c:ptCount val="5"/>
                <c:pt idx="0">
                  <c:v>41.666666666666664</c:v>
                </c:pt>
                <c:pt idx="1">
                  <c:v>27.777777777777779</c:v>
                </c:pt>
                <c:pt idx="2">
                  <c:v>20.833333333333332</c:v>
                </c:pt>
                <c:pt idx="3">
                  <c:v>16.666666666666668</c:v>
                </c:pt>
                <c:pt idx="4">
                  <c:v>13.888888888888889</c:v>
                </c:pt>
              </c:numCache>
            </c:numRef>
          </c:xVal>
          <c:yVal>
            <c:numRef>
              <c:f>MADDE1!$B$52:$F$52</c:f>
              <c:numCache>
                <c:formatCode>General</c:formatCode>
                <c:ptCount val="5"/>
                <c:pt idx="0">
                  <c:v>83.5</c:v>
                </c:pt>
                <c:pt idx="1">
                  <c:v>61.818181818181827</c:v>
                </c:pt>
                <c:pt idx="2">
                  <c:v>52.307692307692314</c:v>
                </c:pt>
                <c:pt idx="3">
                  <c:v>46.896551724137929</c:v>
                </c:pt>
                <c:pt idx="4">
                  <c:v>43.870967741935488</c:v>
                </c:pt>
              </c:numCache>
            </c:numRef>
          </c:yVal>
          <c:smooth val="0"/>
        </c:ser>
        <c:ser>
          <c:idx val="3"/>
          <c:order val="3"/>
          <c:tx>
            <c:v>[I]3:0,00357</c:v>
          </c:tx>
          <c:spPr>
            <a:ln w="28575">
              <a:noFill/>
            </a:ln>
          </c:spPr>
          <c:marker>
            <c:symbol val="circle"/>
            <c:size val="5"/>
            <c:spPr>
              <a:solidFill>
                <a:schemeClr val="tx1"/>
              </a:solidFill>
              <a:ln>
                <a:noFill/>
              </a:ln>
            </c:spPr>
          </c:marker>
          <c:trendline>
            <c:trendlineType val="linear"/>
            <c:backward val="30"/>
            <c:dispRSqr val="0"/>
            <c:dispEq val="0"/>
          </c:trendline>
          <c:trendline>
            <c:trendlineType val="linear"/>
            <c:dispRSqr val="0"/>
            <c:dispEq val="0"/>
          </c:trendline>
          <c:trendline>
            <c:trendlineType val="linear"/>
            <c:backward val="40"/>
            <c:dispRSqr val="0"/>
            <c:dispEq val="0"/>
          </c:trendline>
          <c:xVal>
            <c:numRef>
              <c:f>MADDE1!$B$49:$F$49</c:f>
              <c:numCache>
                <c:formatCode>General</c:formatCode>
                <c:ptCount val="5"/>
                <c:pt idx="0">
                  <c:v>41.666666666666664</c:v>
                </c:pt>
                <c:pt idx="1">
                  <c:v>27.777777777777779</c:v>
                </c:pt>
                <c:pt idx="2">
                  <c:v>20.833333333333332</c:v>
                </c:pt>
                <c:pt idx="3">
                  <c:v>16.666666666666668</c:v>
                </c:pt>
                <c:pt idx="4">
                  <c:v>13.888888888888889</c:v>
                </c:pt>
              </c:numCache>
            </c:numRef>
          </c:xVal>
          <c:yVal>
            <c:numRef>
              <c:f>MADDE1!$B$53:$F$53</c:f>
              <c:numCache>
                <c:formatCode>General</c:formatCode>
                <c:ptCount val="5"/>
                <c:pt idx="0">
                  <c:v>121</c:v>
                </c:pt>
                <c:pt idx="1">
                  <c:v>90.666666666666671</c:v>
                </c:pt>
                <c:pt idx="2">
                  <c:v>75.555555555555557</c:v>
                </c:pt>
                <c:pt idx="3">
                  <c:v>68</c:v>
                </c:pt>
                <c:pt idx="4">
                  <c:v>64</c:v>
                </c:pt>
              </c:numCache>
            </c:numRef>
          </c:yVal>
          <c:smooth val="0"/>
        </c:ser>
        <c:dLbls>
          <c:showLegendKey val="0"/>
          <c:showVal val="0"/>
          <c:showCatName val="0"/>
          <c:showSerName val="0"/>
          <c:showPercent val="0"/>
          <c:showBubbleSize val="0"/>
        </c:dLbls>
        <c:axId val="306600936"/>
        <c:axId val="305247704"/>
      </c:scatterChart>
      <c:valAx>
        <c:axId val="306600936"/>
        <c:scaling>
          <c:orientation val="minMax"/>
          <c:min val="-20"/>
        </c:scaling>
        <c:delete val="0"/>
        <c:axPos val="b"/>
        <c:title>
          <c:tx>
            <c:rich>
              <a:bodyPr/>
              <a:lstStyle/>
              <a:p>
                <a:pPr>
                  <a:defRPr/>
                </a:pPr>
                <a:r>
                  <a:rPr lang="tr-TR">
                    <a:latin typeface="Times New Roman" panose="02020603050405020304" pitchFamily="18" charset="0"/>
                    <a:cs typeface="Times New Roman" panose="02020603050405020304" pitchFamily="18" charset="0"/>
                  </a:rPr>
                  <a:t>1/S</a:t>
                </a:r>
                <a:r>
                  <a:rPr lang="tr-TR" baseline="0">
                    <a:latin typeface="Times New Roman" panose="02020603050405020304" pitchFamily="18" charset="0"/>
                    <a:cs typeface="Times New Roman" panose="02020603050405020304" pitchFamily="18" charset="0"/>
                  </a:rPr>
                  <a:t> (mM)</a:t>
                </a:r>
                <a:endParaRPr lang="tr-TR">
                  <a:latin typeface="Times New Roman" panose="02020603050405020304" pitchFamily="18" charset="0"/>
                  <a:cs typeface="Times New Roman" panose="02020603050405020304" pitchFamily="18" charset="0"/>
                </a:endParaRPr>
              </a:p>
            </c:rich>
          </c:tx>
          <c:overlay val="0"/>
        </c:title>
        <c:numFmt formatCode="General" sourceLinked="1"/>
        <c:majorTickMark val="out"/>
        <c:minorTickMark val="none"/>
        <c:tickLblPos val="nextTo"/>
        <c:crossAx val="305247704"/>
        <c:crosses val="autoZero"/>
        <c:crossBetween val="midCat"/>
        <c:majorUnit val="5"/>
      </c:valAx>
      <c:valAx>
        <c:axId val="305247704"/>
        <c:scaling>
          <c:orientation val="minMax"/>
          <c:max val="130"/>
          <c:min val="0"/>
        </c:scaling>
        <c:delete val="0"/>
        <c:axPos val="l"/>
        <c:title>
          <c:tx>
            <c:rich>
              <a:bodyPr rot="-5400000" vert="horz"/>
              <a:lstStyle/>
              <a:p>
                <a:pPr>
                  <a:defRPr>
                    <a:latin typeface="Times New Roman" pitchFamily="18" charset="0"/>
                    <a:cs typeface="Times New Roman" pitchFamily="18" charset="0"/>
                  </a:defRPr>
                </a:pPr>
                <a:r>
                  <a:rPr lang="tr-TR">
                    <a:latin typeface="Times New Roman" pitchFamily="18" charset="0"/>
                    <a:cs typeface="Times New Roman" pitchFamily="18" charset="0"/>
                  </a:rPr>
                  <a:t>1/V</a:t>
                </a:r>
                <a:r>
                  <a:rPr lang="tr-TR" baseline="0">
                    <a:latin typeface="Times New Roman" pitchFamily="18" charset="0"/>
                    <a:cs typeface="Times New Roman" pitchFamily="18" charset="0"/>
                  </a:rPr>
                  <a:t> (EU/ml)</a:t>
                </a:r>
                <a:r>
                  <a:rPr lang="tr-TR" baseline="30000">
                    <a:latin typeface="Times New Roman" pitchFamily="18" charset="0"/>
                    <a:cs typeface="Times New Roman" pitchFamily="18" charset="0"/>
                  </a:rPr>
                  <a:t>-1</a:t>
                </a:r>
              </a:p>
            </c:rich>
          </c:tx>
          <c:layout>
            <c:manualLayout>
              <c:xMode val="edge"/>
              <c:yMode val="edge"/>
              <c:x val="2.6745657557425646E-2"/>
              <c:y val="0.38678849813485766"/>
            </c:manualLayout>
          </c:layout>
          <c:overlay val="0"/>
        </c:title>
        <c:numFmt formatCode="General" sourceLinked="1"/>
        <c:majorTickMark val="out"/>
        <c:minorTickMark val="none"/>
        <c:tickLblPos val="nextTo"/>
        <c:crossAx val="306600936"/>
        <c:crosses val="autoZero"/>
        <c:crossBetween val="midCat"/>
      </c:valAx>
    </c:plotArea>
    <c:legend>
      <c:legendPos val="r"/>
      <c:legendEntry>
        <c:idx val="4"/>
        <c:delete val="1"/>
      </c:legendEntry>
      <c:legendEntry>
        <c:idx val="5"/>
        <c:delete val="1"/>
      </c:legendEntry>
      <c:legendEntry>
        <c:idx val="6"/>
        <c:delete val="1"/>
      </c:legendEntry>
      <c:legendEntry>
        <c:idx val="7"/>
        <c:delete val="1"/>
      </c:legendEntry>
      <c:legendEntry>
        <c:idx val="8"/>
        <c:delete val="1"/>
      </c:legendEntry>
      <c:legendEntry>
        <c:idx val="9"/>
        <c:delete val="1"/>
      </c:legendEntry>
      <c:layout>
        <c:manualLayout>
          <c:xMode val="edge"/>
          <c:yMode val="edge"/>
          <c:x val="0.10063467080648583"/>
          <c:y val="0.10962798909626029"/>
          <c:w val="0.14361809121685876"/>
          <c:h val="0.41635995500562428"/>
        </c:manualLayout>
      </c:layout>
      <c:overlay val="0"/>
      <c:txPr>
        <a:bodyPr/>
        <a:lstStyle/>
        <a:p>
          <a:pPr>
            <a:defRPr>
              <a:latin typeface="Times New Roman" panose="02020603050405020304" pitchFamily="18" charset="0"/>
              <a:cs typeface="Times New Roman" panose="02020603050405020304" pitchFamily="18" charset="0"/>
            </a:defRPr>
          </a:pPr>
          <a:endParaRPr lang="tr-TR"/>
        </a:p>
      </c:tx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v>ıc50</c:v>
          </c:tx>
          <c:spPr>
            <a:ln w="28575">
              <a:noFill/>
            </a:ln>
          </c:spPr>
          <c:marker>
            <c:spPr>
              <a:solidFill>
                <a:schemeClr val="tx1"/>
              </a:solidFill>
              <a:ln>
                <a:noFill/>
              </a:ln>
            </c:spPr>
          </c:marker>
          <c:trendline>
            <c:trendlineType val="exp"/>
            <c:intercept val="100"/>
            <c:dispRSqr val="1"/>
            <c:dispEq val="1"/>
            <c:trendlineLbl>
              <c:layout>
                <c:manualLayout>
                  <c:x val="-1.3617614907976411E-2"/>
                  <c:y val="-0.42205629921259841"/>
                </c:manualLayout>
              </c:layout>
              <c:numFmt formatCode="General" sourceLinked="0"/>
              <c:txPr>
                <a:bodyPr/>
                <a:lstStyle/>
                <a:p>
                  <a:pPr>
                    <a:defRPr sz="1000"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tr-TR"/>
                </a:p>
              </c:txPr>
            </c:trendlineLbl>
          </c:trendline>
          <c:xVal>
            <c:numRef>
              <c:f>MADDE1!$D$8:$D$13</c:f>
              <c:numCache>
                <c:formatCode>0.000000000</c:formatCode>
                <c:ptCount val="6"/>
                <c:pt idx="0">
                  <c:v>0</c:v>
                </c:pt>
                <c:pt idx="1">
                  <c:v>1.6927920912753493E-2</c:v>
                </c:pt>
                <c:pt idx="2">
                  <c:v>3.3855841825506987E-2</c:v>
                </c:pt>
                <c:pt idx="3">
                  <c:v>5.0783762738260484E-2</c:v>
                </c:pt>
                <c:pt idx="4">
                  <c:v>6.7711683651013974E-2</c:v>
                </c:pt>
                <c:pt idx="5">
                  <c:v>8.4639604563767484E-2</c:v>
                </c:pt>
              </c:numCache>
            </c:numRef>
          </c:xVal>
          <c:yVal>
            <c:numRef>
              <c:f>MADDE1!$C$8:$C$13</c:f>
              <c:numCache>
                <c:formatCode>General</c:formatCode>
                <c:ptCount val="6"/>
                <c:pt idx="0">
                  <c:v>100</c:v>
                </c:pt>
                <c:pt idx="1">
                  <c:v>79.166666666666671</c:v>
                </c:pt>
                <c:pt idx="2">
                  <c:v>63.541666666666657</c:v>
                </c:pt>
                <c:pt idx="3">
                  <c:v>48.958333333333336</c:v>
                </c:pt>
                <c:pt idx="4">
                  <c:v>40.625</c:v>
                </c:pt>
                <c:pt idx="5">
                  <c:v>32.291666666666664</c:v>
                </c:pt>
              </c:numCache>
            </c:numRef>
          </c:yVal>
          <c:smooth val="1"/>
        </c:ser>
        <c:dLbls>
          <c:showLegendKey val="0"/>
          <c:showVal val="0"/>
          <c:showCatName val="0"/>
          <c:showSerName val="0"/>
          <c:showPercent val="0"/>
          <c:showBubbleSize val="0"/>
        </c:dLbls>
        <c:axId val="306420792"/>
        <c:axId val="167766536"/>
      </c:scatterChart>
      <c:valAx>
        <c:axId val="306420792"/>
        <c:scaling>
          <c:orientation val="minMax"/>
          <c:max val="9.0000000000000024E-2"/>
          <c:min val="0"/>
        </c:scaling>
        <c:delete val="0"/>
        <c:axPos val="b"/>
        <c:title>
          <c:tx>
            <c:rich>
              <a:bodyPr/>
              <a:lstStyle/>
              <a:p>
                <a:pPr>
                  <a:defRPr b="1">
                    <a:latin typeface="Times New Roman" panose="02020603050405020304" pitchFamily="18" charset="0"/>
                    <a:cs typeface="Times New Roman" panose="02020603050405020304" pitchFamily="18" charset="0"/>
                  </a:defRPr>
                </a:pPr>
                <a:r>
                  <a:rPr lang="tr-TR" b="1">
                    <a:latin typeface="Times New Roman" panose="02020603050405020304" pitchFamily="18" charset="0"/>
                    <a:cs typeface="Times New Roman" panose="02020603050405020304" pitchFamily="18" charset="0"/>
                  </a:rPr>
                  <a:t>(1-metil-4-hidroksi-4-fenil piperidin-3-il) (fenil)</a:t>
                </a:r>
                <a:r>
                  <a:rPr lang="tr-TR" b="1" baseline="0">
                    <a:latin typeface="Times New Roman" panose="02020603050405020304" pitchFamily="18" charset="0"/>
                    <a:cs typeface="Times New Roman" panose="02020603050405020304" pitchFamily="18" charset="0"/>
                  </a:rPr>
                  <a:t> metanon</a:t>
                </a:r>
                <a:r>
                  <a:rPr lang="tr-TR" b="1">
                    <a:latin typeface="Times New Roman" panose="02020603050405020304" pitchFamily="18" charset="0"/>
                    <a:cs typeface="Times New Roman" panose="02020603050405020304" pitchFamily="18" charset="0"/>
                  </a:rPr>
                  <a:t> </a:t>
                </a:r>
                <a:r>
                  <a:rPr lang="tr-TR" b="1" baseline="0">
                    <a:latin typeface="Times New Roman" panose="02020603050405020304" pitchFamily="18" charset="0"/>
                    <a:cs typeface="Times New Roman" panose="02020603050405020304" pitchFamily="18" charset="0"/>
                  </a:rPr>
                  <a:t>(mM)</a:t>
                </a:r>
                <a:endParaRPr lang="tr-TR" b="1">
                  <a:latin typeface="Times New Roman" panose="02020603050405020304" pitchFamily="18" charset="0"/>
                  <a:cs typeface="Times New Roman" panose="02020603050405020304" pitchFamily="18" charset="0"/>
                </a:endParaRPr>
              </a:p>
            </c:rich>
          </c:tx>
          <c:overlay val="0"/>
        </c:title>
        <c:numFmt formatCode="#,##0.000" sourceLinked="0"/>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tr-TR"/>
          </a:p>
        </c:txPr>
        <c:crossAx val="167766536"/>
        <c:crosses val="autoZero"/>
        <c:crossBetween val="midCat"/>
        <c:majorUnit val="1.5000000000000003E-2"/>
        <c:minorUnit val="1.5000000000000007E-4"/>
      </c:valAx>
      <c:valAx>
        <c:axId val="167766536"/>
        <c:scaling>
          <c:orientation val="minMax"/>
          <c:max val="100"/>
        </c:scaling>
        <c:delete val="0"/>
        <c:axPos val="l"/>
        <c:majorGridlines/>
        <c:title>
          <c:tx>
            <c:rich>
              <a:bodyPr rot="-5400000" vert="horz"/>
              <a:lstStyle/>
              <a:p>
                <a:pPr>
                  <a:defRPr b="1">
                    <a:latin typeface="Times New Roman" pitchFamily="18" charset="0"/>
                    <a:cs typeface="Times New Roman" pitchFamily="18" charset="0"/>
                  </a:defRPr>
                </a:pPr>
                <a:r>
                  <a:rPr lang="en-US" b="1">
                    <a:latin typeface="Times New Roman" pitchFamily="18" charset="0"/>
                    <a:cs typeface="Times New Roman" pitchFamily="18" charset="0"/>
                  </a:rPr>
                  <a:t> Enzim Aktivitesi (%)</a:t>
                </a:r>
              </a:p>
            </c:rich>
          </c:tx>
          <c:overlay val="0"/>
        </c:title>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tr-TR"/>
          </a:p>
        </c:txPr>
        <c:crossAx val="306420792"/>
        <c:crosses val="autoZero"/>
        <c:crossBetween val="midCat"/>
        <c:majorUnit val="20"/>
      </c:valAx>
    </c:plotArea>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tr-TR"/>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496207527967678E-2"/>
          <c:y val="2.7072530690701892E-2"/>
          <c:w val="0.8935223097112861"/>
          <c:h val="0.83249029671848684"/>
        </c:manualLayout>
      </c:layout>
      <c:scatterChart>
        <c:scatterStyle val="lineMarker"/>
        <c:varyColors val="0"/>
        <c:ser>
          <c:idx val="0"/>
          <c:order val="0"/>
          <c:tx>
            <c:v>Kontrol</c:v>
          </c:tx>
          <c:spPr>
            <a:ln w="28575">
              <a:noFill/>
            </a:ln>
          </c:spPr>
          <c:marker>
            <c:symbol val="diamond"/>
            <c:size val="5"/>
            <c:spPr>
              <a:solidFill>
                <a:schemeClr val="tx1"/>
              </a:solidFill>
              <a:ln>
                <a:noFill/>
              </a:ln>
            </c:spPr>
          </c:marker>
          <c:trendline>
            <c:trendlineType val="linear"/>
            <c:backward val="50"/>
            <c:dispRSqr val="0"/>
            <c:dispEq val="0"/>
          </c:trendline>
          <c:xVal>
            <c:numRef>
              <c:f>MADDE1!$B$49:$F$49</c:f>
              <c:numCache>
                <c:formatCode>General</c:formatCode>
                <c:ptCount val="5"/>
                <c:pt idx="0">
                  <c:v>41.6666666666667</c:v>
                </c:pt>
                <c:pt idx="1">
                  <c:v>27.777777777777779</c:v>
                </c:pt>
                <c:pt idx="2">
                  <c:v>20.833333333333332</c:v>
                </c:pt>
                <c:pt idx="3">
                  <c:v>16.666666666666668</c:v>
                </c:pt>
                <c:pt idx="4">
                  <c:v>13.888888888888889</c:v>
                </c:pt>
              </c:numCache>
            </c:numRef>
          </c:xVal>
          <c:yVal>
            <c:numRef>
              <c:f>MADDE1!$B$50:$F$50</c:f>
              <c:numCache>
                <c:formatCode>General</c:formatCode>
                <c:ptCount val="5"/>
                <c:pt idx="0">
                  <c:v>41</c:v>
                </c:pt>
                <c:pt idx="1">
                  <c:v>33.170731707317074</c:v>
                </c:pt>
                <c:pt idx="2">
                  <c:v>28.333333333333332</c:v>
                </c:pt>
                <c:pt idx="3">
                  <c:v>24.285714285714281</c:v>
                </c:pt>
                <c:pt idx="4">
                  <c:v>21.935483870967744</c:v>
                </c:pt>
              </c:numCache>
            </c:numRef>
          </c:yVal>
          <c:smooth val="0"/>
        </c:ser>
        <c:ser>
          <c:idx val="1"/>
          <c:order val="1"/>
          <c:tx>
            <c:v>[I]1:0,04357</c:v>
          </c:tx>
          <c:spPr>
            <a:ln w="28575">
              <a:noFill/>
            </a:ln>
          </c:spPr>
          <c:marker>
            <c:symbol val="square"/>
            <c:size val="5"/>
            <c:spPr>
              <a:solidFill>
                <a:schemeClr val="tx1"/>
              </a:solidFill>
              <a:ln>
                <a:noFill/>
              </a:ln>
            </c:spPr>
          </c:marker>
          <c:trendline>
            <c:trendlineType val="linear"/>
            <c:backward val="50"/>
            <c:dispRSqr val="0"/>
            <c:dispEq val="0"/>
          </c:trendline>
          <c:xVal>
            <c:numRef>
              <c:f>MADDE1!$B$49:$F$49</c:f>
              <c:numCache>
                <c:formatCode>General</c:formatCode>
                <c:ptCount val="5"/>
                <c:pt idx="0">
                  <c:v>41.6666666666667</c:v>
                </c:pt>
                <c:pt idx="1">
                  <c:v>27.777777777777779</c:v>
                </c:pt>
                <c:pt idx="2">
                  <c:v>20.833333333333332</c:v>
                </c:pt>
                <c:pt idx="3">
                  <c:v>16.666666666666668</c:v>
                </c:pt>
                <c:pt idx="4">
                  <c:v>13.888888888888889</c:v>
                </c:pt>
              </c:numCache>
            </c:numRef>
          </c:xVal>
          <c:yVal>
            <c:numRef>
              <c:f>MADDE1!$B$51:$F$51</c:f>
              <c:numCache>
                <c:formatCode>General</c:formatCode>
                <c:ptCount val="5"/>
                <c:pt idx="0">
                  <c:v>61.818181818181827</c:v>
                </c:pt>
                <c:pt idx="1">
                  <c:v>48.571428571428562</c:v>
                </c:pt>
                <c:pt idx="2">
                  <c:v>40</c:v>
                </c:pt>
                <c:pt idx="3">
                  <c:v>36.756756756756758</c:v>
                </c:pt>
                <c:pt idx="4">
                  <c:v>34.871794871794869</c:v>
                </c:pt>
              </c:numCache>
            </c:numRef>
          </c:yVal>
          <c:smooth val="0"/>
        </c:ser>
        <c:ser>
          <c:idx val="2"/>
          <c:order val="2"/>
          <c:tx>
            <c:v>[I]2:0,05490</c:v>
          </c:tx>
          <c:spPr>
            <a:ln w="28575">
              <a:noFill/>
            </a:ln>
          </c:spPr>
          <c:marker>
            <c:symbol val="triangle"/>
            <c:size val="5"/>
            <c:spPr>
              <a:solidFill>
                <a:schemeClr val="tx1"/>
              </a:solidFill>
              <a:ln>
                <a:noFill/>
              </a:ln>
            </c:spPr>
          </c:marker>
          <c:trendline>
            <c:trendlineType val="linear"/>
            <c:backward val="80"/>
            <c:dispRSqr val="0"/>
            <c:dispEq val="0"/>
          </c:trendline>
          <c:xVal>
            <c:numRef>
              <c:f>MADDE1!$B$49:$F$49</c:f>
              <c:numCache>
                <c:formatCode>General</c:formatCode>
                <c:ptCount val="5"/>
                <c:pt idx="0">
                  <c:v>41.6666666666667</c:v>
                </c:pt>
                <c:pt idx="1">
                  <c:v>27.777777777777779</c:v>
                </c:pt>
                <c:pt idx="2">
                  <c:v>20.833333333333332</c:v>
                </c:pt>
                <c:pt idx="3">
                  <c:v>16.666666666666668</c:v>
                </c:pt>
                <c:pt idx="4">
                  <c:v>13.888888888888889</c:v>
                </c:pt>
              </c:numCache>
            </c:numRef>
          </c:xVal>
          <c:yVal>
            <c:numRef>
              <c:f>MADDE1!$B$52:$F$52</c:f>
              <c:numCache>
                <c:formatCode>General</c:formatCode>
                <c:ptCount val="5"/>
                <c:pt idx="0">
                  <c:v>79.5</c:v>
                </c:pt>
                <c:pt idx="1">
                  <c:v>61.818181818181827</c:v>
                </c:pt>
                <c:pt idx="2">
                  <c:v>52.307692307692314</c:v>
                </c:pt>
                <c:pt idx="3">
                  <c:v>46.896551724137929</c:v>
                </c:pt>
                <c:pt idx="4">
                  <c:v>43.870967741935488</c:v>
                </c:pt>
              </c:numCache>
            </c:numRef>
          </c:yVal>
          <c:smooth val="0"/>
        </c:ser>
        <c:ser>
          <c:idx val="3"/>
          <c:order val="3"/>
          <c:tx>
            <c:v>[I]3:0,06370</c:v>
          </c:tx>
          <c:spPr>
            <a:ln w="28575">
              <a:noFill/>
            </a:ln>
          </c:spPr>
          <c:marker>
            <c:symbol val="circle"/>
            <c:size val="5"/>
            <c:spPr>
              <a:solidFill>
                <a:schemeClr val="tx1"/>
              </a:solidFill>
              <a:ln>
                <a:noFill/>
              </a:ln>
            </c:spPr>
          </c:marker>
          <c:trendline>
            <c:trendlineType val="linear"/>
            <c:backward val="30"/>
            <c:dispRSqr val="0"/>
            <c:dispEq val="0"/>
          </c:trendline>
          <c:trendline>
            <c:trendlineType val="linear"/>
            <c:dispRSqr val="0"/>
            <c:dispEq val="0"/>
          </c:trendline>
          <c:trendline>
            <c:trendlineType val="linear"/>
            <c:backward val="40"/>
            <c:dispRSqr val="0"/>
            <c:dispEq val="0"/>
          </c:trendline>
          <c:xVal>
            <c:numRef>
              <c:f>MADDE1!$B$49:$F$49</c:f>
              <c:numCache>
                <c:formatCode>General</c:formatCode>
                <c:ptCount val="5"/>
                <c:pt idx="0">
                  <c:v>41.6666666666667</c:v>
                </c:pt>
                <c:pt idx="1">
                  <c:v>27.777777777777779</c:v>
                </c:pt>
                <c:pt idx="2">
                  <c:v>20.833333333333332</c:v>
                </c:pt>
                <c:pt idx="3">
                  <c:v>16.666666666666668</c:v>
                </c:pt>
                <c:pt idx="4">
                  <c:v>13.888888888888889</c:v>
                </c:pt>
              </c:numCache>
            </c:numRef>
          </c:xVal>
          <c:yVal>
            <c:numRef>
              <c:f>MADDE1!$B$53:$F$53</c:f>
              <c:numCache>
                <c:formatCode>General</c:formatCode>
                <c:ptCount val="5"/>
                <c:pt idx="0">
                  <c:v>104.61538461538463</c:v>
                </c:pt>
                <c:pt idx="1">
                  <c:v>80</c:v>
                </c:pt>
                <c:pt idx="2">
                  <c:v>68</c:v>
                </c:pt>
                <c:pt idx="3">
                  <c:v>61.818181818181827</c:v>
                </c:pt>
                <c:pt idx="4">
                  <c:v>58.5</c:v>
                </c:pt>
              </c:numCache>
            </c:numRef>
          </c:yVal>
          <c:smooth val="0"/>
        </c:ser>
        <c:dLbls>
          <c:showLegendKey val="0"/>
          <c:showVal val="0"/>
          <c:showCatName val="0"/>
          <c:showSerName val="0"/>
          <c:showPercent val="0"/>
          <c:showBubbleSize val="0"/>
        </c:dLbls>
        <c:axId val="308999408"/>
        <c:axId val="308999800"/>
      </c:scatterChart>
      <c:valAx>
        <c:axId val="308999408"/>
        <c:scaling>
          <c:orientation val="minMax"/>
          <c:min val="-25"/>
        </c:scaling>
        <c:delete val="0"/>
        <c:axPos val="b"/>
        <c:title>
          <c:tx>
            <c:rich>
              <a:bodyPr/>
              <a:lstStyle/>
              <a:p>
                <a:pPr>
                  <a:defRPr/>
                </a:pPr>
                <a:r>
                  <a:rPr lang="tr-TR">
                    <a:latin typeface="Times New Roman" panose="02020603050405020304" pitchFamily="18" charset="0"/>
                    <a:cs typeface="Times New Roman" panose="02020603050405020304" pitchFamily="18" charset="0"/>
                  </a:rPr>
                  <a:t>1/S</a:t>
                </a:r>
                <a:r>
                  <a:rPr lang="tr-TR" baseline="0">
                    <a:latin typeface="Times New Roman" panose="02020603050405020304" pitchFamily="18" charset="0"/>
                    <a:cs typeface="Times New Roman" panose="02020603050405020304" pitchFamily="18" charset="0"/>
                  </a:rPr>
                  <a:t> (mM)</a:t>
                </a:r>
                <a:endParaRPr lang="tr-TR">
                  <a:latin typeface="Times New Roman" panose="02020603050405020304" pitchFamily="18" charset="0"/>
                  <a:cs typeface="Times New Roman" panose="02020603050405020304" pitchFamily="18" charset="0"/>
                </a:endParaRPr>
              </a:p>
            </c:rich>
          </c:tx>
          <c:layout>
            <c:manualLayout>
              <c:xMode val="edge"/>
              <c:yMode val="edge"/>
              <c:x val="0.47768706386104465"/>
              <c:y val="0.92813141683778233"/>
            </c:manualLayout>
          </c:layout>
          <c:overlay val="0"/>
        </c:title>
        <c:numFmt formatCode="General" sourceLinked="1"/>
        <c:majorTickMark val="out"/>
        <c:minorTickMark val="none"/>
        <c:tickLblPos val="nextTo"/>
        <c:crossAx val="308999800"/>
        <c:crosses val="autoZero"/>
        <c:crossBetween val="midCat"/>
      </c:valAx>
      <c:valAx>
        <c:axId val="308999800"/>
        <c:scaling>
          <c:orientation val="minMax"/>
          <c:max val="120"/>
          <c:min val="0"/>
        </c:scaling>
        <c:delete val="0"/>
        <c:axPos val="l"/>
        <c:title>
          <c:tx>
            <c:rich>
              <a:bodyPr rot="-5400000" vert="horz"/>
              <a:lstStyle/>
              <a:p>
                <a:pPr>
                  <a:defRPr>
                    <a:latin typeface="Times New Roman" pitchFamily="18" charset="0"/>
                    <a:cs typeface="Times New Roman" pitchFamily="18" charset="0"/>
                  </a:defRPr>
                </a:pPr>
                <a:r>
                  <a:rPr lang="tr-TR">
                    <a:latin typeface="Times New Roman" pitchFamily="18" charset="0"/>
                    <a:cs typeface="Times New Roman" pitchFamily="18" charset="0"/>
                  </a:rPr>
                  <a:t>1/V</a:t>
                </a:r>
                <a:r>
                  <a:rPr lang="tr-TR" baseline="0">
                    <a:latin typeface="Times New Roman" pitchFamily="18" charset="0"/>
                    <a:cs typeface="Times New Roman" pitchFamily="18" charset="0"/>
                  </a:rPr>
                  <a:t> (EU/ml)</a:t>
                </a:r>
                <a:r>
                  <a:rPr lang="tr-TR" baseline="30000">
                    <a:latin typeface="Times New Roman" pitchFamily="18" charset="0"/>
                    <a:cs typeface="Times New Roman" pitchFamily="18" charset="0"/>
                  </a:rPr>
                  <a:t>-1</a:t>
                </a:r>
              </a:p>
            </c:rich>
          </c:tx>
          <c:layout>
            <c:manualLayout>
              <c:xMode val="edge"/>
              <c:yMode val="edge"/>
              <c:x val="2.6745657557425646E-2"/>
              <c:y val="0.38678849813485766"/>
            </c:manualLayout>
          </c:layout>
          <c:overlay val="0"/>
        </c:title>
        <c:numFmt formatCode="General" sourceLinked="1"/>
        <c:majorTickMark val="out"/>
        <c:minorTickMark val="none"/>
        <c:tickLblPos val="nextTo"/>
        <c:crossAx val="308999408"/>
        <c:crosses val="autoZero"/>
        <c:crossBetween val="midCat"/>
      </c:valAx>
    </c:plotArea>
    <c:legend>
      <c:legendPos val="r"/>
      <c:legendEntry>
        <c:idx val="4"/>
        <c:delete val="1"/>
      </c:legendEntry>
      <c:legendEntry>
        <c:idx val="5"/>
        <c:delete val="1"/>
      </c:legendEntry>
      <c:legendEntry>
        <c:idx val="6"/>
        <c:delete val="1"/>
      </c:legendEntry>
      <c:legendEntry>
        <c:idx val="7"/>
        <c:delete val="1"/>
      </c:legendEntry>
      <c:legendEntry>
        <c:idx val="8"/>
        <c:delete val="1"/>
      </c:legendEntry>
      <c:legendEntry>
        <c:idx val="9"/>
        <c:delete val="1"/>
      </c:legendEntry>
      <c:layout>
        <c:manualLayout>
          <c:xMode val="edge"/>
          <c:yMode val="edge"/>
          <c:x val="0.13148753280839903"/>
          <c:y val="9.1509450826552832E-2"/>
          <c:w val="0.14361809121685876"/>
          <c:h val="0.41635995500562428"/>
        </c:manualLayout>
      </c:layout>
      <c:overlay val="0"/>
      <c:txPr>
        <a:bodyPr/>
        <a:lstStyle/>
        <a:p>
          <a:pPr>
            <a:defRPr>
              <a:latin typeface="Times New Roman" panose="02020603050405020304" pitchFamily="18" charset="0"/>
              <a:cs typeface="Times New Roman" panose="02020603050405020304" pitchFamily="18" charset="0"/>
            </a:defRPr>
          </a:pPr>
          <a:endParaRPr lang="tr-TR"/>
        </a:p>
      </c:txPr>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v>ıc50</c:v>
          </c:tx>
          <c:spPr>
            <a:ln w="28575">
              <a:noFill/>
            </a:ln>
          </c:spPr>
          <c:marker>
            <c:spPr>
              <a:solidFill>
                <a:schemeClr val="tx1"/>
              </a:solidFill>
              <a:ln>
                <a:noFill/>
              </a:ln>
            </c:spPr>
          </c:marker>
          <c:trendline>
            <c:trendlineType val="exp"/>
            <c:intercept val="100"/>
            <c:dispRSqr val="1"/>
            <c:dispEq val="1"/>
            <c:trendlineLbl>
              <c:layout>
                <c:manualLayout>
                  <c:x val="-1.3887649709315346E-2"/>
                  <c:y val="-0.43667007874015751"/>
                </c:manualLayout>
              </c:layout>
              <c:numFmt formatCode="General" sourceLinked="0"/>
              <c:txPr>
                <a:bodyPr/>
                <a:lstStyle/>
                <a:p>
                  <a:pPr>
                    <a:defRPr sz="1000"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tr-TR"/>
                </a:p>
              </c:txPr>
            </c:trendlineLbl>
          </c:trendline>
          <c:xVal>
            <c:numRef>
              <c:f>MADDE1!$D$8:$D$13</c:f>
              <c:numCache>
                <c:formatCode>0.000000000</c:formatCode>
                <c:ptCount val="6"/>
                <c:pt idx="0">
                  <c:v>0</c:v>
                </c:pt>
                <c:pt idx="1">
                  <c:v>1.6160310277957335E-2</c:v>
                </c:pt>
                <c:pt idx="2">
                  <c:v>3.232062055591467E-2</c:v>
                </c:pt>
                <c:pt idx="3">
                  <c:v>4.8480930833872005E-2</c:v>
                </c:pt>
                <c:pt idx="4">
                  <c:v>6.464124111182934E-2</c:v>
                </c:pt>
                <c:pt idx="5">
                  <c:v>8.0801551389786674E-2</c:v>
                </c:pt>
              </c:numCache>
            </c:numRef>
          </c:xVal>
          <c:yVal>
            <c:numRef>
              <c:f>MADDE1!$C$8:$C$13</c:f>
              <c:numCache>
                <c:formatCode>General</c:formatCode>
                <c:ptCount val="6"/>
                <c:pt idx="0">
                  <c:v>100</c:v>
                </c:pt>
                <c:pt idx="1">
                  <c:v>78.723404255319139</c:v>
                </c:pt>
                <c:pt idx="2">
                  <c:v>60.638297872340424</c:v>
                </c:pt>
                <c:pt idx="3">
                  <c:v>48.936170212765958</c:v>
                </c:pt>
                <c:pt idx="4">
                  <c:v>37.234042553191493</c:v>
                </c:pt>
                <c:pt idx="5">
                  <c:v>30.851063829787233</c:v>
                </c:pt>
              </c:numCache>
            </c:numRef>
          </c:yVal>
          <c:smooth val="1"/>
        </c:ser>
        <c:dLbls>
          <c:showLegendKey val="0"/>
          <c:showVal val="0"/>
          <c:showCatName val="0"/>
          <c:showSerName val="0"/>
          <c:showPercent val="0"/>
          <c:showBubbleSize val="0"/>
        </c:dLbls>
        <c:axId val="309000584"/>
        <c:axId val="308725856"/>
      </c:scatterChart>
      <c:valAx>
        <c:axId val="309000584"/>
        <c:scaling>
          <c:orientation val="minMax"/>
          <c:max val="9.0000000000000024E-2"/>
          <c:min val="0"/>
        </c:scaling>
        <c:delete val="0"/>
        <c:axPos val="b"/>
        <c:title>
          <c:tx>
            <c:rich>
              <a:bodyPr/>
              <a:lstStyle/>
              <a:p>
                <a:pPr>
                  <a:defRPr b="1"/>
                </a:pPr>
                <a:r>
                  <a:rPr lang="tr-TR" b="1" baseline="0">
                    <a:latin typeface="Times New Roman" panose="02020603050405020304" pitchFamily="18" charset="0"/>
                    <a:cs typeface="Times New Roman" panose="02020603050405020304" pitchFamily="18" charset="0"/>
                  </a:rPr>
                  <a:t>(1-etil- 4-hidroksi-4 fenil piperidin-3-il) (fenil) metanon (mM)</a:t>
                </a:r>
                <a:endParaRPr lang="tr-TR" b="1">
                  <a:latin typeface="Times New Roman" panose="02020603050405020304" pitchFamily="18" charset="0"/>
                  <a:cs typeface="Times New Roman" panose="02020603050405020304" pitchFamily="18" charset="0"/>
                </a:endParaRPr>
              </a:p>
            </c:rich>
          </c:tx>
          <c:overlay val="0"/>
        </c:title>
        <c:numFmt formatCode="#,##0.000" sourceLinked="0"/>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tr-TR"/>
          </a:p>
        </c:txPr>
        <c:crossAx val="308725856"/>
        <c:crosses val="autoZero"/>
        <c:crossBetween val="midCat"/>
        <c:majorUnit val="1.5000000000000003E-2"/>
        <c:minorUnit val="1.5000000000000007E-4"/>
      </c:valAx>
      <c:valAx>
        <c:axId val="308725856"/>
        <c:scaling>
          <c:orientation val="minMax"/>
          <c:max val="100"/>
        </c:scaling>
        <c:delete val="0"/>
        <c:axPos val="l"/>
        <c:majorGridlines/>
        <c:title>
          <c:tx>
            <c:rich>
              <a:bodyPr rot="-5400000" vert="horz"/>
              <a:lstStyle/>
              <a:p>
                <a:pPr>
                  <a:defRPr b="1">
                    <a:latin typeface="Times New Roman" pitchFamily="18" charset="0"/>
                    <a:cs typeface="Times New Roman" pitchFamily="18" charset="0"/>
                  </a:defRPr>
                </a:pPr>
                <a:r>
                  <a:rPr lang="en-US" b="1">
                    <a:latin typeface="Times New Roman" pitchFamily="18" charset="0"/>
                    <a:cs typeface="Times New Roman" pitchFamily="18" charset="0"/>
                  </a:rPr>
                  <a:t> Enzim Aktivitesi (%)</a:t>
                </a:r>
              </a:p>
            </c:rich>
          </c:tx>
          <c:overlay val="0"/>
        </c:title>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tr-TR"/>
          </a:p>
        </c:txPr>
        <c:crossAx val="309000584"/>
        <c:crosses val="autoZero"/>
        <c:crossBetween val="midCat"/>
        <c:majorUnit val="20"/>
      </c:valAx>
    </c:plotArea>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tr-TR"/>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496207527967678E-2"/>
          <c:y val="2.7072530690701892E-2"/>
          <c:w val="0.8935223097112861"/>
          <c:h val="0.83249029671848684"/>
        </c:manualLayout>
      </c:layout>
      <c:scatterChart>
        <c:scatterStyle val="lineMarker"/>
        <c:varyColors val="0"/>
        <c:ser>
          <c:idx val="0"/>
          <c:order val="0"/>
          <c:tx>
            <c:v>Kontrol</c:v>
          </c:tx>
          <c:spPr>
            <a:ln w="28575">
              <a:noFill/>
            </a:ln>
          </c:spPr>
          <c:marker>
            <c:symbol val="diamond"/>
            <c:size val="5"/>
            <c:spPr>
              <a:solidFill>
                <a:schemeClr val="tx1"/>
              </a:solidFill>
              <a:ln>
                <a:noFill/>
              </a:ln>
            </c:spPr>
          </c:marker>
          <c:trendline>
            <c:trendlineType val="linear"/>
            <c:backward val="50"/>
            <c:dispRSqr val="0"/>
            <c:dispEq val="0"/>
          </c:trendline>
          <c:trendline>
            <c:trendlineType val="linear"/>
            <c:dispRSqr val="0"/>
            <c:dispEq val="0"/>
          </c:trendline>
          <c:trendline>
            <c:trendlineType val="linear"/>
            <c:dispRSqr val="0"/>
            <c:dispEq val="0"/>
          </c:trendline>
          <c:xVal>
            <c:numRef>
              <c:f>MADDE1!$B$49:$F$49</c:f>
              <c:numCache>
                <c:formatCode>General</c:formatCode>
                <c:ptCount val="5"/>
                <c:pt idx="0">
                  <c:v>41.6666666666667</c:v>
                </c:pt>
                <c:pt idx="1">
                  <c:v>27.777777777777779</c:v>
                </c:pt>
                <c:pt idx="2">
                  <c:v>20.833333333333332</c:v>
                </c:pt>
                <c:pt idx="3">
                  <c:v>16.666666666666668</c:v>
                </c:pt>
                <c:pt idx="4">
                  <c:v>13.888888888888889</c:v>
                </c:pt>
              </c:numCache>
            </c:numRef>
          </c:xVal>
          <c:yVal>
            <c:numRef>
              <c:f>MADDE1!$B$50:$F$50</c:f>
              <c:numCache>
                <c:formatCode>General</c:formatCode>
                <c:ptCount val="5"/>
                <c:pt idx="0">
                  <c:v>46.896551724137929</c:v>
                </c:pt>
                <c:pt idx="1">
                  <c:v>35.789473684210527</c:v>
                </c:pt>
                <c:pt idx="2">
                  <c:v>30</c:v>
                </c:pt>
                <c:pt idx="3">
                  <c:v>25.660377358490567</c:v>
                </c:pt>
                <c:pt idx="4">
                  <c:v>23.859649122807017</c:v>
                </c:pt>
              </c:numCache>
            </c:numRef>
          </c:yVal>
          <c:smooth val="0"/>
        </c:ser>
        <c:ser>
          <c:idx val="1"/>
          <c:order val="1"/>
          <c:tx>
            <c:v>[I]1:0,03633</c:v>
          </c:tx>
          <c:spPr>
            <a:ln w="28575">
              <a:noFill/>
            </a:ln>
          </c:spPr>
          <c:marker>
            <c:symbol val="square"/>
            <c:size val="5"/>
            <c:spPr>
              <a:solidFill>
                <a:schemeClr val="tx1"/>
              </a:solidFill>
              <a:ln>
                <a:noFill/>
              </a:ln>
            </c:spPr>
          </c:marker>
          <c:trendline>
            <c:trendlineType val="linear"/>
            <c:backward val="50"/>
            <c:dispRSqr val="0"/>
            <c:dispEq val="0"/>
          </c:trendline>
          <c:xVal>
            <c:numRef>
              <c:f>MADDE1!$B$49:$F$49</c:f>
              <c:numCache>
                <c:formatCode>General</c:formatCode>
                <c:ptCount val="5"/>
                <c:pt idx="0">
                  <c:v>41.6666666666667</c:v>
                </c:pt>
                <c:pt idx="1">
                  <c:v>27.777777777777779</c:v>
                </c:pt>
                <c:pt idx="2">
                  <c:v>20.833333333333332</c:v>
                </c:pt>
                <c:pt idx="3">
                  <c:v>16.666666666666668</c:v>
                </c:pt>
                <c:pt idx="4">
                  <c:v>13.888888888888889</c:v>
                </c:pt>
              </c:numCache>
            </c:numRef>
          </c:xVal>
          <c:yVal>
            <c:numRef>
              <c:f>MADDE1!$B$51:$F$51</c:f>
              <c:numCache>
                <c:formatCode>General</c:formatCode>
                <c:ptCount val="5"/>
                <c:pt idx="0">
                  <c:v>75.555555555555557</c:v>
                </c:pt>
                <c:pt idx="1">
                  <c:v>56.666666666666664</c:v>
                </c:pt>
                <c:pt idx="2">
                  <c:v>48.571428571428562</c:v>
                </c:pt>
                <c:pt idx="3">
                  <c:v>42.5</c:v>
                </c:pt>
                <c:pt idx="4">
                  <c:v>37.777777777777779</c:v>
                </c:pt>
              </c:numCache>
            </c:numRef>
          </c:yVal>
          <c:smooth val="0"/>
        </c:ser>
        <c:ser>
          <c:idx val="2"/>
          <c:order val="2"/>
          <c:tx>
            <c:v>[I]2:0,04471</c:v>
          </c:tx>
          <c:spPr>
            <a:ln w="28575">
              <a:noFill/>
            </a:ln>
          </c:spPr>
          <c:marker>
            <c:symbol val="triangle"/>
            <c:size val="5"/>
            <c:spPr>
              <a:solidFill>
                <a:schemeClr val="tx1"/>
              </a:solidFill>
              <a:ln>
                <a:noFill/>
              </a:ln>
            </c:spPr>
          </c:marker>
          <c:trendline>
            <c:trendlineType val="linear"/>
            <c:backward val="80"/>
            <c:dispRSqr val="0"/>
            <c:dispEq val="0"/>
          </c:trendline>
          <c:xVal>
            <c:numRef>
              <c:f>MADDE1!$B$49:$F$49</c:f>
              <c:numCache>
                <c:formatCode>General</c:formatCode>
                <c:ptCount val="5"/>
                <c:pt idx="0">
                  <c:v>41.6666666666667</c:v>
                </c:pt>
                <c:pt idx="1">
                  <c:v>27.777777777777779</c:v>
                </c:pt>
                <c:pt idx="2">
                  <c:v>20.833333333333332</c:v>
                </c:pt>
                <c:pt idx="3">
                  <c:v>16.666666666666668</c:v>
                </c:pt>
                <c:pt idx="4">
                  <c:v>13.888888888888889</c:v>
                </c:pt>
              </c:numCache>
            </c:numRef>
          </c:xVal>
          <c:yVal>
            <c:numRef>
              <c:f>MADDE1!$B$52:$F$52</c:f>
              <c:numCache>
                <c:formatCode>General</c:formatCode>
                <c:ptCount val="5"/>
                <c:pt idx="0">
                  <c:v>95</c:v>
                </c:pt>
                <c:pt idx="1">
                  <c:v>71.578947368421055</c:v>
                </c:pt>
                <c:pt idx="2">
                  <c:v>61.818181818181827</c:v>
                </c:pt>
                <c:pt idx="3">
                  <c:v>52.307692307692314</c:v>
                </c:pt>
                <c:pt idx="4">
                  <c:v>48.571428571428562</c:v>
                </c:pt>
              </c:numCache>
            </c:numRef>
          </c:yVal>
          <c:smooth val="0"/>
        </c:ser>
        <c:ser>
          <c:idx val="3"/>
          <c:order val="3"/>
          <c:tx>
            <c:v>[I]3:0,005109</c:v>
          </c:tx>
          <c:spPr>
            <a:ln w="28575">
              <a:noFill/>
            </a:ln>
          </c:spPr>
          <c:marker>
            <c:symbol val="circle"/>
            <c:size val="5"/>
            <c:spPr>
              <a:solidFill>
                <a:schemeClr val="tx1"/>
              </a:solidFill>
              <a:ln>
                <a:noFill/>
              </a:ln>
            </c:spPr>
          </c:marker>
          <c:trendline>
            <c:trendlineType val="linear"/>
            <c:backward val="30"/>
            <c:dispRSqr val="0"/>
            <c:dispEq val="0"/>
          </c:trendline>
          <c:trendline>
            <c:trendlineType val="linear"/>
            <c:dispRSqr val="0"/>
            <c:dispEq val="0"/>
          </c:trendline>
          <c:trendline>
            <c:trendlineType val="linear"/>
            <c:backward val="40"/>
            <c:dispRSqr val="0"/>
            <c:dispEq val="0"/>
          </c:trendline>
          <c:xVal>
            <c:numRef>
              <c:f>MADDE1!$B$49:$F$49</c:f>
              <c:numCache>
                <c:formatCode>General</c:formatCode>
                <c:ptCount val="5"/>
                <c:pt idx="0">
                  <c:v>41.6666666666667</c:v>
                </c:pt>
                <c:pt idx="1">
                  <c:v>27.777777777777779</c:v>
                </c:pt>
                <c:pt idx="2">
                  <c:v>20.833333333333332</c:v>
                </c:pt>
                <c:pt idx="3">
                  <c:v>16.666666666666668</c:v>
                </c:pt>
                <c:pt idx="4">
                  <c:v>13.888888888888889</c:v>
                </c:pt>
              </c:numCache>
            </c:numRef>
          </c:xVal>
          <c:yVal>
            <c:numRef>
              <c:f>MADDE1!$B$53:$F$53</c:f>
              <c:numCache>
                <c:formatCode>General</c:formatCode>
                <c:ptCount val="5"/>
                <c:pt idx="0">
                  <c:v>127</c:v>
                </c:pt>
                <c:pt idx="1">
                  <c:v>97.142857142857125</c:v>
                </c:pt>
                <c:pt idx="2">
                  <c:v>80</c:v>
                </c:pt>
                <c:pt idx="3">
                  <c:v>71.578947368421055</c:v>
                </c:pt>
                <c:pt idx="4">
                  <c:v>64.761904761904802</c:v>
                </c:pt>
              </c:numCache>
            </c:numRef>
          </c:yVal>
          <c:smooth val="0"/>
        </c:ser>
        <c:dLbls>
          <c:showLegendKey val="0"/>
          <c:showVal val="0"/>
          <c:showCatName val="0"/>
          <c:showSerName val="0"/>
          <c:showPercent val="0"/>
          <c:showBubbleSize val="0"/>
        </c:dLbls>
        <c:axId val="308726640"/>
        <c:axId val="308727032"/>
      </c:scatterChart>
      <c:valAx>
        <c:axId val="308726640"/>
        <c:scaling>
          <c:orientation val="minMax"/>
          <c:min val="-25"/>
        </c:scaling>
        <c:delete val="0"/>
        <c:axPos val="b"/>
        <c:title>
          <c:tx>
            <c:rich>
              <a:bodyPr/>
              <a:lstStyle/>
              <a:p>
                <a:pPr>
                  <a:defRPr>
                    <a:latin typeface="Times New Roman" panose="02020603050405020304" pitchFamily="18" charset="0"/>
                    <a:cs typeface="Times New Roman" panose="02020603050405020304" pitchFamily="18" charset="0"/>
                  </a:defRPr>
                </a:pPr>
                <a:r>
                  <a:rPr lang="tr-TR">
                    <a:latin typeface="Times New Roman" panose="02020603050405020304" pitchFamily="18" charset="0"/>
                    <a:cs typeface="Times New Roman" panose="02020603050405020304" pitchFamily="18" charset="0"/>
                  </a:rPr>
                  <a:t>1/S</a:t>
                </a:r>
                <a:r>
                  <a:rPr lang="tr-TR" baseline="0">
                    <a:latin typeface="Times New Roman" panose="02020603050405020304" pitchFamily="18" charset="0"/>
                    <a:cs typeface="Times New Roman" panose="02020603050405020304" pitchFamily="18" charset="0"/>
                  </a:rPr>
                  <a:t> (mM)</a:t>
                </a:r>
                <a:endParaRPr lang="tr-TR">
                  <a:latin typeface="Times New Roman" panose="02020603050405020304" pitchFamily="18" charset="0"/>
                  <a:cs typeface="Times New Roman" panose="02020603050405020304" pitchFamily="18" charset="0"/>
                </a:endParaRPr>
              </a:p>
            </c:rich>
          </c:tx>
          <c:layout>
            <c:manualLayout>
              <c:xMode val="edge"/>
              <c:yMode val="edge"/>
              <c:x val="0.47541175100552702"/>
              <c:y val="0.92813141683778233"/>
            </c:manualLayout>
          </c:layout>
          <c:overlay val="0"/>
        </c:title>
        <c:numFmt formatCode="General" sourceLinked="1"/>
        <c:majorTickMark val="out"/>
        <c:minorTickMark val="none"/>
        <c:tickLblPos val="nextTo"/>
        <c:crossAx val="308727032"/>
        <c:crosses val="autoZero"/>
        <c:crossBetween val="midCat"/>
      </c:valAx>
      <c:valAx>
        <c:axId val="308727032"/>
        <c:scaling>
          <c:orientation val="minMax"/>
          <c:max val="140"/>
          <c:min val="0"/>
        </c:scaling>
        <c:delete val="0"/>
        <c:axPos val="l"/>
        <c:title>
          <c:tx>
            <c:rich>
              <a:bodyPr rot="-5400000" vert="horz"/>
              <a:lstStyle/>
              <a:p>
                <a:pPr>
                  <a:defRPr>
                    <a:latin typeface="Times New Roman" pitchFamily="18" charset="0"/>
                    <a:cs typeface="Times New Roman" pitchFamily="18" charset="0"/>
                  </a:defRPr>
                </a:pPr>
                <a:r>
                  <a:rPr lang="tr-TR">
                    <a:latin typeface="Times New Roman" pitchFamily="18" charset="0"/>
                    <a:cs typeface="Times New Roman" pitchFamily="18" charset="0"/>
                  </a:rPr>
                  <a:t>1/V</a:t>
                </a:r>
                <a:r>
                  <a:rPr lang="tr-TR" baseline="0">
                    <a:latin typeface="Times New Roman" pitchFamily="18" charset="0"/>
                    <a:cs typeface="Times New Roman" pitchFamily="18" charset="0"/>
                  </a:rPr>
                  <a:t> (EU/ml)</a:t>
                </a:r>
                <a:r>
                  <a:rPr lang="tr-TR" baseline="30000">
                    <a:latin typeface="Times New Roman" pitchFamily="18" charset="0"/>
                    <a:cs typeface="Times New Roman" pitchFamily="18" charset="0"/>
                  </a:rPr>
                  <a:t>-1</a:t>
                </a:r>
              </a:p>
            </c:rich>
          </c:tx>
          <c:layout>
            <c:manualLayout>
              <c:xMode val="edge"/>
              <c:yMode val="edge"/>
              <c:x val="4.2672865550509261E-2"/>
              <c:y val="0.28001228799172179"/>
            </c:manualLayout>
          </c:layout>
          <c:overlay val="0"/>
        </c:title>
        <c:numFmt formatCode="General" sourceLinked="1"/>
        <c:majorTickMark val="out"/>
        <c:minorTickMark val="none"/>
        <c:tickLblPos val="nextTo"/>
        <c:crossAx val="308726640"/>
        <c:crosses val="autoZero"/>
        <c:crossBetween val="midCat"/>
      </c:valAx>
    </c:plotArea>
    <c:legend>
      <c:legendPos val="r"/>
      <c:legendEntry>
        <c:idx val="4"/>
        <c:delete val="1"/>
      </c:legendEntry>
      <c:legendEntry>
        <c:idx val="5"/>
        <c:delete val="1"/>
      </c:legendEntry>
      <c:legendEntry>
        <c:idx val="6"/>
        <c:delete val="1"/>
      </c:legendEntry>
      <c:legendEntry>
        <c:idx val="7"/>
        <c:delete val="1"/>
      </c:legendEntry>
      <c:legendEntry>
        <c:idx val="8"/>
        <c:delete val="1"/>
      </c:legendEntry>
      <c:legendEntry>
        <c:idx val="9"/>
        <c:delete val="1"/>
      </c:legendEntry>
      <c:legendEntry>
        <c:idx val="10"/>
        <c:delete val="1"/>
      </c:legendEntry>
      <c:legendEntry>
        <c:idx val="11"/>
        <c:delete val="1"/>
      </c:legendEntry>
      <c:layout>
        <c:manualLayout>
          <c:xMode val="edge"/>
          <c:yMode val="edge"/>
          <c:x val="0.13148753280839903"/>
          <c:y val="9.1509450826552832E-2"/>
          <c:w val="0.18719878803540049"/>
          <c:h val="0.52922985024461899"/>
        </c:manualLayout>
      </c:layout>
      <c:overlay val="0"/>
      <c:txPr>
        <a:bodyPr/>
        <a:lstStyle/>
        <a:p>
          <a:pPr>
            <a:defRPr>
              <a:latin typeface="Times New Roman" panose="02020603050405020304" pitchFamily="18" charset="0"/>
              <a:cs typeface="Times New Roman" panose="02020603050405020304" pitchFamily="18" charset="0"/>
            </a:defRPr>
          </a:pPr>
          <a:endParaRPr lang="tr-TR"/>
        </a:p>
      </c:txPr>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spPr>
            <a:ln w="6350">
              <a:solidFill>
                <a:schemeClr val="tx1"/>
              </a:solidFill>
            </a:ln>
          </c:spPr>
          <c:marker>
            <c:symbol val="diamond"/>
            <c:size val="5"/>
            <c:spPr>
              <a:solidFill>
                <a:schemeClr val="tx1"/>
              </a:solidFill>
              <a:ln>
                <a:solidFill>
                  <a:schemeClr val="tx1"/>
                </a:solidFill>
              </a:ln>
            </c:spPr>
          </c:marker>
          <c:dPt>
            <c:idx val="4"/>
            <c:marker>
              <c:spPr>
                <a:solidFill>
                  <a:schemeClr val="tx1"/>
                </a:solidFill>
                <a:ln w="9525">
                  <a:solidFill>
                    <a:schemeClr val="tx1"/>
                  </a:solidFill>
                </a:ln>
              </c:spPr>
            </c:marker>
            <c:bubble3D val="0"/>
          </c:dPt>
          <c:trendline>
            <c:spPr>
              <a:ln>
                <a:noFill/>
              </a:ln>
            </c:spPr>
            <c:trendlineType val="exp"/>
            <c:dispRSqr val="1"/>
            <c:dispEq val="1"/>
            <c:trendlineLbl>
              <c:layout>
                <c:manualLayout>
                  <c:x val="-1.2204505686789151E-2"/>
                  <c:y val="-0.37535003264780253"/>
                </c:manualLayout>
              </c:layout>
              <c:numFmt formatCode="General" sourceLinked="0"/>
              <c:txPr>
                <a:bodyPr/>
                <a:lstStyle/>
                <a:p>
                  <a:pPr>
                    <a:defRPr>
                      <a:latin typeface="Times New Roman" panose="02020603050405020304" pitchFamily="18" charset="0"/>
                      <a:cs typeface="Times New Roman" panose="02020603050405020304" pitchFamily="18" charset="0"/>
                    </a:defRPr>
                  </a:pPr>
                  <a:endParaRPr lang="tr-TR"/>
                </a:p>
              </c:txPr>
            </c:trendlineLbl>
          </c:trendline>
          <c:xVal>
            <c:numRef>
              <c:f>MADDE1!$D$8:$D$13</c:f>
              <c:numCache>
                <c:formatCode>0.000000000</c:formatCode>
                <c:ptCount val="6"/>
                <c:pt idx="0">
                  <c:v>0</c:v>
                </c:pt>
                <c:pt idx="1">
                  <c:v>1.2020675561966584E-5</c:v>
                </c:pt>
                <c:pt idx="2">
                  <c:v>2.4041351123933167E-5</c:v>
                </c:pt>
                <c:pt idx="3">
                  <c:v>3.6062026685899748E-5</c:v>
                </c:pt>
                <c:pt idx="4">
                  <c:v>4.8082702247866335E-5</c:v>
                </c:pt>
                <c:pt idx="5">
                  <c:v>6.0103377809832922E-5</c:v>
                </c:pt>
              </c:numCache>
            </c:numRef>
          </c:xVal>
          <c:yVal>
            <c:numRef>
              <c:f>MADDE1!$E$8:$E$13</c:f>
              <c:numCache>
                <c:formatCode>General</c:formatCode>
                <c:ptCount val="6"/>
                <c:pt idx="0">
                  <c:v>99</c:v>
                </c:pt>
                <c:pt idx="1">
                  <c:v>77</c:v>
                </c:pt>
                <c:pt idx="2">
                  <c:v>59.999999999999993</c:v>
                </c:pt>
                <c:pt idx="3">
                  <c:v>47</c:v>
                </c:pt>
                <c:pt idx="4">
                  <c:v>36</c:v>
                </c:pt>
                <c:pt idx="5">
                  <c:v>26.999999999999996</c:v>
                </c:pt>
              </c:numCache>
            </c:numRef>
          </c:yVal>
          <c:smooth val="1"/>
        </c:ser>
        <c:dLbls>
          <c:showLegendKey val="0"/>
          <c:showVal val="0"/>
          <c:showCatName val="0"/>
          <c:showSerName val="0"/>
          <c:showPercent val="0"/>
          <c:showBubbleSize val="0"/>
        </c:dLbls>
        <c:axId val="190465792"/>
        <c:axId val="190466184"/>
      </c:scatterChart>
      <c:valAx>
        <c:axId val="190465792"/>
        <c:scaling>
          <c:orientation val="minMax"/>
          <c:max val="6.5000000000000021E-5"/>
          <c:min val="0"/>
        </c:scaling>
        <c:delete val="0"/>
        <c:axPos val="b"/>
        <c:title>
          <c:tx>
            <c:rich>
              <a:bodyPr/>
              <a:lstStyle/>
              <a:p>
                <a:pPr>
                  <a:defRPr/>
                </a:pPr>
                <a:r>
                  <a:rPr lang="tr-TR" b="1">
                    <a:latin typeface="Times New Roman" panose="02020603050405020304" pitchFamily="18" charset="0"/>
                    <a:cs typeface="Times New Roman" panose="02020603050405020304" pitchFamily="18" charset="0"/>
                  </a:rPr>
                  <a:t>Donepezil (mM)</a:t>
                </a:r>
              </a:p>
            </c:rich>
          </c:tx>
          <c:overlay val="0"/>
        </c:title>
        <c:numFmt formatCode="0.000000" sourceLinked="0"/>
        <c:majorTickMark val="out"/>
        <c:minorTickMark val="none"/>
        <c:tickLblPos val="nextTo"/>
        <c:crossAx val="190466184"/>
        <c:crosses val="autoZero"/>
        <c:crossBetween val="midCat"/>
        <c:majorUnit val="1.5000000000000005E-5"/>
      </c:valAx>
      <c:valAx>
        <c:axId val="190466184"/>
        <c:scaling>
          <c:orientation val="minMax"/>
        </c:scaling>
        <c:delete val="0"/>
        <c:axPos val="l"/>
        <c:title>
          <c:tx>
            <c:rich>
              <a:bodyPr rot="-5400000" vert="horz"/>
              <a:lstStyle/>
              <a:p>
                <a:pPr>
                  <a:defRPr/>
                </a:pPr>
                <a:r>
                  <a:rPr lang="tr-TR">
                    <a:latin typeface="Times New Roman" panose="02020603050405020304" pitchFamily="18" charset="0"/>
                    <a:cs typeface="Times New Roman" panose="02020603050405020304" pitchFamily="18" charset="0"/>
                  </a:rPr>
                  <a:t>Enzim Aktivitesi (%)</a:t>
                </a:r>
              </a:p>
            </c:rich>
          </c:tx>
          <c:layout>
            <c:manualLayout>
              <c:xMode val="edge"/>
              <c:yMode val="edge"/>
              <c:x val="2.2222222222222223E-2"/>
              <c:y val="0.22010608048993877"/>
            </c:manualLayout>
          </c:layout>
          <c:overlay val="0"/>
        </c:title>
        <c:numFmt formatCode="General" sourceLinked="1"/>
        <c:majorTickMark val="out"/>
        <c:minorTickMark val="none"/>
        <c:tickLblPos val="nextTo"/>
        <c:crossAx val="190465792"/>
        <c:crosses val="autoZero"/>
        <c:crossBetween val="midCat"/>
      </c:valAx>
      <c:spPr>
        <a:noFill/>
      </c:spPr>
    </c:plotArea>
    <c:plotVisOnly val="1"/>
    <c:dispBlanksAs val="gap"/>
    <c:showDLblsOverMax val="0"/>
  </c:chart>
  <c:externalData r:id="rId2">
    <c:autoUpdate val="0"/>
  </c:externalData>
</c:chartSpac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9DDDE8-CEAB-41A5-A8D9-C7E5B5A8BA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2344</TotalTime>
  <Pages>1</Pages>
  <Words>16578</Words>
  <Characters>94498</Characters>
  <Application>Microsoft Office Word</Application>
  <DocSecurity>0</DocSecurity>
  <Lines>787</Lines>
  <Paragraphs>221</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110855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Sony</dc:creator>
  <cp:lastModifiedBy>Muhammet Emre</cp:lastModifiedBy>
  <cp:revision>88</cp:revision>
  <cp:lastPrinted>2021-07-02T11:59:00Z</cp:lastPrinted>
  <dcterms:created xsi:type="dcterms:W3CDTF">2021-02-18T16:27:00Z</dcterms:created>
  <dcterms:modified xsi:type="dcterms:W3CDTF">2021-07-02T12:00:00Z</dcterms:modified>
</cp:coreProperties>
</file>